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4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4760"/>
        <w:gridCol w:w="1680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技术参数与性能指标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：本项目包含道路修复、新建祭奠园、水泵房、浆砌石挡土墙、喷塑网护栏室外给排水设计、室外安防设计、变配电工程及其他配套设备等。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7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DE048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供应商针对本项目的施工，必须达到国家及行业现行技术规范标准，符合国家及行业验收合格标准：</w:t>
            </w:r>
          </w:p>
          <w:p w14:paraId="4FA6209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现行国家有关法律、规范、规程、工程建设标准及陕西省、渭南市地方法规、规范及标准。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7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针对本项目的其他技术服务要求：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（1）项目建设相关要求：严格执行国家相关标准、行业标准、地方标准等。（2）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投标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人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所有与本项目有关的技术标准均应不低于已颁布的国家和行业标准，或相应的国际标准的有关条文。使用最新的专利和保密专利需特别说明。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BCCD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0C55F">
            <w:pPr>
              <w:spacing w:line="360" w:lineRule="auto"/>
              <w:ind w:right="21" w:rightChars="1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8C35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ind w:right="0" w:rightChar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工期：120日历天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7CCD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F268D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F912C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1A09B">
            <w:pPr>
              <w:spacing w:line="360" w:lineRule="auto"/>
              <w:ind w:right="21" w:rightChars="1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EA05A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质量标准：合格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A8F3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B56529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F91DD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7DBAE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A039D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工程地点</w:t>
            </w:r>
            <w:r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：渭南市临渭区阳郭镇古道村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6908F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D45FA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C84C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AD0CE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A603A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付款方式</w:t>
            </w:r>
            <w:r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  <w:t>本工程依据工程进度按比例将进度应付款支付给供应商。工程完工后，进度款拨付至合同总金额的80%；结算审核完成后，付至结算价款的97%；质保期满，支付剩余工程价款。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34687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75B7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69CE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D58A8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40A4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质量保修范围</w:t>
            </w:r>
            <w:r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和质量保修期：（1）质量保修范围：图纸、工程量清单、招标文件以及工程全部内容；</w:t>
            </w:r>
          </w:p>
          <w:p w14:paraId="5E1873D3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  <w:t>（2）质量保修期：按照《建设工程质量管理条例》及有关规定执行，质量保修期自工程竣工验收合格之日起计算。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B57B5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AE5CB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B3F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1ACB6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41996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eastAsia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缺陷责任期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：12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个月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E8BC1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75513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E1AF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A58EF">
            <w:pPr>
              <w:spacing w:line="360" w:lineRule="auto"/>
              <w:ind w:right="21" w:rightChars="10"/>
              <w:jc w:val="center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718D2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/>
              <w:jc w:val="center"/>
              <w:textAlignment w:val="baseline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sz w:val="21"/>
                <w:szCs w:val="21"/>
                <w:lang w:val="en-US" w:eastAsia="zh-CN"/>
              </w:rPr>
              <w:t>.......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55FB8">
            <w:pPr>
              <w:pStyle w:val="8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1"/>
                <w:szCs w:val="21"/>
                <w:highlight w:val="none"/>
                <w:lang w:val="en-US" w:eastAsia="en-US" w:bidi="ar-SA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3F0E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B93752D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此表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要求据实逐条填写，不得虚假陈述。</w:t>
      </w: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textAlignment w:val="auto"/>
        <w:rPr>
          <w:rFonts w:hint="eastAsia" w:ascii="宋体" w:hAnsi="宋体" w:cs="宋体"/>
          <w:spacing w:val="6"/>
          <w:sz w:val="15"/>
          <w:szCs w:val="15"/>
          <w:lang w:val="zh-CN"/>
        </w:rPr>
      </w:pPr>
      <w:bookmarkStart w:id="0" w:name="_GoBack"/>
      <w:bookmarkEnd w:id="0"/>
    </w:p>
    <w:p w14:paraId="643C72EA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5F5B50">
      <w:pPr>
        <w:ind w:left="3360" w:firstLine="730" w:firstLineChars="250"/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07797F74"/>
    <w:rsid w:val="0C7927C4"/>
    <w:rsid w:val="1DD72298"/>
    <w:rsid w:val="2BF403C2"/>
    <w:rsid w:val="340053F5"/>
    <w:rsid w:val="3A3C6A5B"/>
    <w:rsid w:val="4C6E006C"/>
    <w:rsid w:val="59060509"/>
    <w:rsid w:val="5B773940"/>
    <w:rsid w:val="67A6453E"/>
    <w:rsid w:val="71EA0570"/>
    <w:rsid w:val="75A27AFB"/>
    <w:rsid w:val="76910CDB"/>
    <w:rsid w:val="7AFE32DE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1008</Words>
  <Characters>1268</Characters>
  <Lines>1</Lines>
  <Paragraphs>1</Paragraphs>
  <TotalTime>0</TotalTime>
  <ScaleCrop>false</ScaleCrop>
  <LinksUpToDate>false</LinksUpToDate>
  <CharactersWithSpaces>1282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南柯一梦</cp:lastModifiedBy>
  <dcterms:modified xsi:type="dcterms:W3CDTF">2025-12-11T00:45:34Z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eyJoZGlkIjoiODMwMmY4ODJkNTZmNjA4MTU3ODk3ZTRjOGEwYmVhNGUiLCJ1c2VySWQiOiI1NDExODg2NzgifQ==</vt:lpwstr>
  </property>
  <property fmtid="{D5CDD505-2E9C-101B-9397-08002B2CF9AE}" pid="4" name="ICV">
    <vt:lpwstr>422CFE60593542E196A2DB2370CFA4D8_12</vt:lpwstr>
  </property>
</Properties>
</file>