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版本号：HRZBXA2025-14220251209001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超融合平台扩容项目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HRZBXA2025-142</w:t>
      </w:r>
      <w:r>
        <w:br/>
      </w:r>
      <w:r>
        <w:br/>
      </w:r>
      <w:r>
        <w:br/>
      </w:r>
    </w:p>
    <w:p>
      <w:pPr>
        <w:pStyle w:val="null3"/>
        <w:jc w:val="center"/>
        <w:outlineLvl w:val="2"/>
      </w:pPr>
      <w:r>
        <w:rPr>
          <w:rFonts w:ascii="仿宋_GB2312" w:hAnsi="仿宋_GB2312" w:cs="仿宋_GB2312" w:eastAsia="仿宋_GB2312"/>
          <w:sz w:val="28"/>
          <w:b/>
        </w:rPr>
        <w:t>渭南市第一医院</w:t>
      </w:r>
    </w:p>
    <w:p>
      <w:pPr>
        <w:pStyle w:val="null3"/>
        <w:jc w:val="center"/>
        <w:outlineLvl w:val="2"/>
      </w:pPr>
      <w:r>
        <w:rPr>
          <w:rFonts w:ascii="仿宋_GB2312" w:hAnsi="仿宋_GB2312" w:cs="仿宋_GB2312" w:eastAsia="仿宋_GB2312"/>
          <w:sz w:val="28"/>
          <w:b/>
        </w:rPr>
        <w:t>陕西恒瑞项目管理有限公司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陕西恒瑞项目管理有限公司</w:t>
      </w:r>
      <w:r>
        <w:rPr>
          <w:rFonts w:ascii="仿宋_GB2312" w:hAnsi="仿宋_GB2312" w:cs="仿宋_GB2312" w:eastAsia="仿宋_GB2312"/>
        </w:rPr>
        <w:t>（以下简称“代理机构”）受</w:t>
      </w:r>
      <w:r>
        <w:rPr>
          <w:rFonts w:ascii="仿宋_GB2312" w:hAnsi="仿宋_GB2312" w:cs="仿宋_GB2312" w:eastAsia="仿宋_GB2312"/>
        </w:rPr>
        <w:t>渭南市第一医院</w:t>
      </w:r>
      <w:r>
        <w:rPr>
          <w:rFonts w:ascii="仿宋_GB2312" w:hAnsi="仿宋_GB2312" w:cs="仿宋_GB2312" w:eastAsia="仿宋_GB2312"/>
        </w:rPr>
        <w:t>委托，拟对</w:t>
      </w:r>
      <w:r>
        <w:rPr>
          <w:rFonts w:ascii="仿宋_GB2312" w:hAnsi="仿宋_GB2312" w:cs="仿宋_GB2312" w:eastAsia="仿宋_GB2312"/>
        </w:rPr>
        <w:t>超融合平台扩容项目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HRZBXA2025-142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超融合平台扩容项目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医院全医疗业务信息系统提供基础支撑，解决现有超融合平台存储容量逼近告警阈值、内存资源耗尽、硬盘频繁故障问题（详见超融合平台监控界面告警记录），通过扩容保障医疗业务连续性与数据安全；满足超融合平台万兆数据传输需求，保障业务流量无瓶颈。</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1、投标保证金：投标保证金交纳凭证</w:t>
      </w:r>
    </w:p>
    <w:p>
      <w:pPr>
        <w:pStyle w:val="null3"/>
      </w:pPr>
      <w:r>
        <w:rPr>
          <w:rFonts w:ascii="仿宋_GB2312" w:hAnsi="仿宋_GB2312" w:cs="仿宋_GB2312" w:eastAsia="仿宋_GB2312"/>
        </w:rPr>
        <w:t>2、信用记录：供应商未被列入“信用中国”网站记录的“失信被执行人”或“重大税收违法失信主体”名单；不处于“中国政府采购网”记录的“政府采购严重违法失信行为记录名单”中的禁止参加政府采购活动期间；</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渭南市第一医院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渭南市临渭区胜利街35号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渭南市第一医院任琼</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13110300003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陕西恒瑞项目管理有限公司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西安市雁塔区科技四路与鱼化一路交汇处（春风心语·春风苑东门）17号商业楼三楼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王乃义、张雨莉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18829232807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刘园</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15829421695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开户名称：陕西恒瑞项目管理有限公司</w:t>
            </w:r>
          </w:p>
          <w:p>
            <w:pPr>
              <w:pStyle w:val="null3"/>
            </w:pPr>
            <w:r>
              <w:rPr>
                <w:rFonts w:ascii="仿宋_GB2312" w:hAnsi="仿宋_GB2312" w:cs="仿宋_GB2312" w:eastAsia="仿宋_GB2312"/>
              </w:rPr>
              <w:t>开户银行：农行西安雁翔路支行</w:t>
            </w:r>
          </w:p>
          <w:p>
            <w:pPr>
              <w:pStyle w:val="null3"/>
            </w:pPr>
            <w:r>
              <w:rPr>
                <w:rFonts w:ascii="仿宋_GB2312" w:hAnsi="仿宋_GB2312" w:cs="仿宋_GB2312" w:eastAsia="仿宋_GB2312"/>
              </w:rPr>
              <w:t>银行账号：26136101040001078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说明：合同金额5%</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渭南市第一医院</w:t>
      </w:r>
      <w:r>
        <w:rPr>
          <w:rFonts w:ascii="仿宋_GB2312" w:hAnsi="仿宋_GB2312" w:cs="仿宋_GB2312" w:eastAsia="仿宋_GB2312"/>
        </w:rPr>
        <w:t>和</w:t>
      </w:r>
      <w:r>
        <w:rPr>
          <w:rFonts w:ascii="仿宋_GB2312" w:hAnsi="仿宋_GB2312" w:cs="仿宋_GB2312" w:eastAsia="仿宋_GB2312"/>
        </w:rPr>
        <w:t>陕西恒瑞项目管理有限公司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渭南市第一医院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陕西恒瑞项目管理有限公司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渭南市第一医院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1、硬件验收： 所有设备为全新未拆封原厂正品，外观无损坏，配件齐全；供应商需提供原厂质量检测报告、产品合格证、原厂授权文件等资料，资料齐全且符合要求视为硬件验收合格。 2、软件验收：软件为原厂正版授权，版本与采购要求一致，功能正常运行；通过平台license管理界面验证授权有效性，授权合规、功能无异常视为软件验收合格。 3、系统验收：完成72小时稳定性测试，核心指标（核心业务虚拟机内存使用率≤70%、存储读写性能满足业务需求、HA机制正常触发、网络传输速率符合万兆需求、无硬件故障告警）全部达标；医院出具《项目验收报告》，双方签字盖章后视为系统验收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联系人：张雨莉</w:t>
      </w:r>
    </w:p>
    <w:p>
      <w:pPr>
        <w:pStyle w:val="null3"/>
      </w:pPr>
      <w:r>
        <w:rPr>
          <w:rFonts w:ascii="仿宋_GB2312" w:hAnsi="仿宋_GB2312" w:cs="仿宋_GB2312" w:eastAsia="仿宋_GB2312"/>
        </w:rPr>
        <w:t>联系电话：18829232807</w:t>
      </w:r>
    </w:p>
    <w:p>
      <w:pPr>
        <w:pStyle w:val="null3"/>
      </w:pPr>
      <w:r>
        <w:rPr>
          <w:rFonts w:ascii="仿宋_GB2312" w:hAnsi="仿宋_GB2312" w:cs="仿宋_GB2312" w:eastAsia="仿宋_GB2312"/>
        </w:rPr>
        <w:t>地址：陕西恒瑞项目管理有限公司</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医院全医疗业务信息系统提供基础支撑，解决现有超融合平台存储容量逼近告警阈值、内存资源耗尽、硬盘频繁故障问题（详见超融合平台监控界面告警记录），通过扩容保障医疗业务连续性与数据安全；满足超融合平台万兆数据传输需求，保障业务流量无瓶颈。</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670,000.00</w:t>
      </w:r>
    </w:p>
    <w:p>
      <w:pPr>
        <w:pStyle w:val="null3"/>
      </w:pPr>
      <w:r>
        <w:rPr>
          <w:rFonts w:ascii="仿宋_GB2312" w:hAnsi="仿宋_GB2312" w:cs="仿宋_GB2312" w:eastAsia="仿宋_GB2312"/>
        </w:rPr>
        <w:t>采购包最高限价（元）: 670,000.00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超融合平台扩容项目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标的名称：超融合平台扩容项目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19"/>
              <w:gridCol w:w="319"/>
              <w:gridCol w:w="1217"/>
              <w:gridCol w:w="343"/>
              <w:gridCol w:w="355"/>
            </w:tblGrid>
            <w:tr>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产品名称</w:t>
                  </w:r>
                </w:p>
              </w:tc>
              <w:tc>
                <w:tcPr>
                  <w:tcW w:type="dxa" w:w="1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招标参数</w:t>
                  </w:r>
                </w:p>
              </w:tc>
              <w:tc>
                <w:tcPr>
                  <w:tcW w:type="dxa" w:w="3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数量</w:t>
                  </w:r>
                </w:p>
              </w:tc>
              <w:tc>
                <w:tcPr>
                  <w:tcW w:type="dxa" w:w="3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单位</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超融合一体机</w:t>
                  </w:r>
                </w:p>
              </w:tc>
              <w:tc>
                <w:tcPr>
                  <w:tcW w:type="dxa" w:w="1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 xml:space="preserve"> </w:t>
                  </w:r>
                  <w:r>
                    <w:rPr>
                      <w:rFonts w:ascii="仿宋_GB2312" w:hAnsi="仿宋_GB2312" w:cs="仿宋_GB2312" w:eastAsia="仿宋_GB2312"/>
                      <w:sz w:val="20"/>
                    </w:rPr>
                    <w:t>2U标准机架式服务器，含超融合所需云计算管理平台、计算虚拟化软件、存储虚拟化软件、网络虚拟化软件。含三年原厂维保服务。</w:t>
                  </w:r>
                </w:p>
                <w:p>
                  <w:pPr>
                    <w:pStyle w:val="null3"/>
                    <w:numPr>
                      <w:ilvl w:val="0"/>
                      <w:numId w:val="1"/>
                    </w:numPr>
                    <w:jc w:val="both"/>
                  </w:pPr>
                  <w:r>
                    <w:rPr>
                      <w:rFonts w:ascii="仿宋_GB2312" w:hAnsi="仿宋_GB2312" w:cs="仿宋_GB2312" w:eastAsia="仿宋_GB2312"/>
                      <w:sz w:val="20"/>
                    </w:rPr>
                    <w:t xml:space="preserve"> </w:t>
                  </w:r>
                  <w:r>
                    <w:rPr>
                      <w:rFonts w:ascii="仿宋_GB2312" w:hAnsi="仿宋_GB2312" w:cs="仿宋_GB2312" w:eastAsia="仿宋_GB2312"/>
                      <w:sz w:val="20"/>
                    </w:rPr>
                    <w:t>每节点</w:t>
                  </w:r>
                  <w:r>
                    <w:rPr>
                      <w:rFonts w:ascii="仿宋_GB2312" w:hAnsi="仿宋_GB2312" w:cs="仿宋_GB2312" w:eastAsia="仿宋_GB2312"/>
                      <w:sz w:val="20"/>
                    </w:rPr>
                    <w:t>CPU配置≥2颗Intel CPU，CPU主频≥@2.10GHz,单颗CPU核数≥24核，每节点≥16*32GB DDR4 3200内存；每节点系统盘≥2块240GB SATA SSD；每节点配备≥6块960G SATA SSD 企业级固态硬盘+6块8T SATA HDD 企业级机械硬盘；每节点盘位数≥12；电源：白金1+1冗余电源；设备接口≥4千兆电口+4万兆光口。含本项目所需多模万兆SFP光模块、线缆等配件。</w:t>
                  </w:r>
                </w:p>
                <w:p>
                  <w:pPr>
                    <w:pStyle w:val="null3"/>
                    <w:numPr>
                      <w:ilvl w:val="0"/>
                      <w:numId w:val="1"/>
                    </w:numPr>
                    <w:jc w:val="both"/>
                  </w:pPr>
                  <w:r>
                    <w:rPr>
                      <w:rFonts w:ascii="仿宋_GB2312" w:hAnsi="仿宋_GB2312" w:cs="仿宋_GB2312" w:eastAsia="仿宋_GB2312"/>
                      <w:sz w:val="20"/>
                    </w:rPr>
                    <w:t>▲平台可定期升级，以优化系统性能并保持稳定，同时避免升级过程中对业务造成中断。平台需支持在线升级功能，以满足我院对系统升级时间及步骤的个性化安排；管理员可自定义暂停升级，并允许灵活制定升级顺序计划，以满足对系统灵活性和控制性的具体要求。（提供产品功能截图并加盖公章）</w:t>
                  </w:r>
                </w:p>
                <w:p>
                  <w:pPr>
                    <w:pStyle w:val="null3"/>
                    <w:numPr>
                      <w:ilvl w:val="0"/>
                      <w:numId w:val="1"/>
                    </w:numPr>
                    <w:jc w:val="both"/>
                  </w:pPr>
                  <w:r>
                    <w:rPr>
                      <w:rFonts w:ascii="仿宋_GB2312" w:hAnsi="仿宋_GB2312" w:cs="仿宋_GB2312" w:eastAsia="仿宋_GB2312"/>
                      <w:sz w:val="20"/>
                    </w:rPr>
                    <w:t xml:space="preserve"> </w:t>
                  </w:r>
                  <w:r>
                    <w:rPr>
                      <w:rFonts w:ascii="仿宋_GB2312" w:hAnsi="仿宋_GB2312" w:cs="仿宋_GB2312" w:eastAsia="仿宋_GB2312"/>
                      <w:sz w:val="20"/>
                    </w:rPr>
                    <w:t>管理平台具备资源监控能力，可实时查看集群</w:t>
                  </w:r>
                  <w:r>
                    <w:rPr>
                      <w:rFonts w:ascii="仿宋_GB2312" w:hAnsi="仿宋_GB2312" w:cs="仿宋_GB2312" w:eastAsia="仿宋_GB2312"/>
                      <w:sz w:val="20"/>
                    </w:rPr>
                    <w:t>CPU、网络和磁盘的使用情况，探测扫描频率可达到每 20 秒一次。系统管理员可通过告警设置界面，对 CPU、网络和磁盘的占用率阈值进行自定义配置，一旦超出设定上限，管理平台将自动发出告警通知。</w:t>
                  </w:r>
                </w:p>
                <w:p>
                  <w:pPr>
                    <w:pStyle w:val="null3"/>
                    <w:numPr>
                      <w:ilvl w:val="0"/>
                      <w:numId w:val="1"/>
                    </w:numPr>
                    <w:jc w:val="both"/>
                  </w:pPr>
                  <w:r>
                    <w:rPr>
                      <w:rFonts w:ascii="仿宋_GB2312" w:hAnsi="仿宋_GB2312" w:cs="仿宋_GB2312" w:eastAsia="仿宋_GB2312"/>
                      <w:sz w:val="20"/>
                    </w:rPr>
                    <w:t>▲为了保障系统的稳定性，支持对有问题服务器进行标记并提醒运维人员；平台对内存ECC具备自动纠错，可对故障内存进行隔离和定位；平台支持对raid卡的故障问题进行定位及处置。（提供具有CMA标识的第三方检测报告并加盖厂商公章）</w:t>
                  </w:r>
                </w:p>
                <w:p>
                  <w:pPr>
                    <w:pStyle w:val="null3"/>
                    <w:numPr>
                      <w:ilvl w:val="0"/>
                      <w:numId w:val="1"/>
                    </w:numPr>
                    <w:jc w:val="both"/>
                  </w:pPr>
                  <w:r>
                    <w:rPr>
                      <w:rFonts w:ascii="仿宋_GB2312" w:hAnsi="仿宋_GB2312" w:cs="仿宋_GB2312" w:eastAsia="仿宋_GB2312"/>
                      <w:sz w:val="20"/>
                    </w:rPr>
                    <w:t xml:space="preserve"> </w:t>
                  </w:r>
                  <w:r>
                    <w:rPr>
                      <w:rFonts w:ascii="仿宋_GB2312" w:hAnsi="仿宋_GB2312" w:cs="仿宋_GB2312" w:eastAsia="仿宋_GB2312"/>
                      <w:sz w:val="20"/>
                    </w:rPr>
                    <w:t>虚拟机迁移支持指定网口迁移、限制速度、压缩传输迁移，同时虚拟机迁移过程中如因数据写入量过大迁移不完，支持迁移的强制切换。</w:t>
                  </w:r>
                </w:p>
                <w:p>
                  <w:pPr>
                    <w:pStyle w:val="null3"/>
                    <w:numPr>
                      <w:ilvl w:val="0"/>
                      <w:numId w:val="1"/>
                    </w:numPr>
                    <w:jc w:val="both"/>
                  </w:pPr>
                  <w:r>
                    <w:rPr>
                      <w:rFonts w:ascii="仿宋_GB2312" w:hAnsi="仿宋_GB2312" w:cs="仿宋_GB2312" w:eastAsia="仿宋_GB2312"/>
                      <w:sz w:val="20"/>
                    </w:rPr>
                    <w:t>▲为保障超融合架构内部东西向通信的访问安全及隔离，需支持无数量限制的虚拟路由器和虚拟交换机部署，且分布式防火墙的授权数量应不低于100 个，分布式防火墙策略可以自动跟随虚拟机迁移配置，避免安全防护策略失效。（提供承诺函并加盖厂商公章）</w:t>
                  </w:r>
                </w:p>
                <w:p>
                  <w:pPr>
                    <w:pStyle w:val="null3"/>
                    <w:numPr>
                      <w:ilvl w:val="0"/>
                      <w:numId w:val="1"/>
                    </w:numPr>
                    <w:jc w:val="both"/>
                  </w:pPr>
                  <w:r>
                    <w:rPr>
                      <w:rFonts w:ascii="仿宋_GB2312" w:hAnsi="仿宋_GB2312" w:cs="仿宋_GB2312" w:eastAsia="仿宋_GB2312"/>
                      <w:sz w:val="20"/>
                    </w:rPr>
                    <w:t>▲本次新增节点须与现有超融合集群平滑扩容，实现业务灵活部署和整体超融合资源池的统一管理，同时在扩容过程中无需停机即可实现超融合资源线性扩展。（提供承诺函并加盖厂商公章）</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企业级分布式存储</w:t>
                  </w:r>
                </w:p>
              </w:tc>
              <w:tc>
                <w:tcPr>
                  <w:tcW w:type="dxa" w:w="1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提供现有分布式存储系统</w:t>
                  </w:r>
                  <w:r>
                    <w:rPr>
                      <w:rFonts w:ascii="仿宋_GB2312" w:hAnsi="仿宋_GB2312" w:cs="仿宋_GB2312" w:eastAsia="仿宋_GB2312"/>
                      <w:sz w:val="20"/>
                    </w:rPr>
                    <w:t>10T存储容量授权;支持块、文件、对象服务，一次授权终身有效，且快照、缓存加速等高级功能免费开放。</w:t>
                  </w:r>
                </w:p>
                <w:p>
                  <w:pPr>
                    <w:pStyle w:val="null3"/>
                    <w:numPr>
                      <w:ilvl w:val="0"/>
                      <w:numId w:val="1"/>
                    </w:numPr>
                    <w:jc w:val="both"/>
                  </w:pPr>
                  <w:r>
                    <w:rPr>
                      <w:rFonts w:ascii="仿宋_GB2312" w:hAnsi="仿宋_GB2312" w:cs="仿宋_GB2312" w:eastAsia="仿宋_GB2312"/>
                      <w:sz w:val="20"/>
                    </w:rPr>
                    <w:t>提供</w:t>
                  </w:r>
                  <w:r>
                    <w:rPr>
                      <w:rFonts w:ascii="仿宋_GB2312" w:hAnsi="仿宋_GB2312" w:cs="仿宋_GB2312" w:eastAsia="仿宋_GB2312"/>
                      <w:sz w:val="20"/>
                    </w:rPr>
                    <w:t>3个960G企业级固态硬盘、6个6T企业级机械硬盘用于现有存储平台硬盘扩容。</w:t>
                  </w:r>
                </w:p>
                <w:p>
                  <w:pPr>
                    <w:pStyle w:val="null3"/>
                    <w:numPr>
                      <w:ilvl w:val="0"/>
                      <w:numId w:val="1"/>
                    </w:numPr>
                    <w:jc w:val="both"/>
                  </w:pPr>
                  <w:r>
                    <w:rPr>
                      <w:rFonts w:ascii="仿宋_GB2312" w:hAnsi="仿宋_GB2312" w:cs="仿宋_GB2312" w:eastAsia="仿宋_GB2312"/>
                      <w:sz w:val="20"/>
                    </w:rPr>
                    <w:t>含一年原厂维保服务。</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存储交换机</w:t>
                  </w:r>
                </w:p>
              </w:tc>
              <w:tc>
                <w:tcPr>
                  <w:tcW w:type="dxa" w:w="1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接口</w:t>
                  </w:r>
                  <w:r>
                    <w:rPr>
                      <w:rFonts w:ascii="仿宋_GB2312" w:hAnsi="仿宋_GB2312" w:cs="仿宋_GB2312" w:eastAsia="仿宋_GB2312"/>
                      <w:sz w:val="20"/>
                    </w:rPr>
                    <w:t>≥24个10G SFP+万兆光口，≥24个千兆电口，≥2个40GE QSFP+光口；交换容量≥2.56Tbps，包转发率≥1300Mpps，支持全端口线速转发。</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含三年原厂维保服务。</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原集群内存条</w:t>
                  </w:r>
                </w:p>
              </w:tc>
              <w:tc>
                <w:tcPr>
                  <w:tcW w:type="dxa" w:w="1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提供</w:t>
                  </w:r>
                  <w:r>
                    <w:rPr>
                      <w:rFonts w:ascii="仿宋_GB2312" w:hAnsi="仿宋_GB2312" w:cs="仿宋_GB2312" w:eastAsia="仿宋_GB2312"/>
                      <w:sz w:val="20"/>
                    </w:rPr>
                    <w:t>32G内存需要适配原有超融合集群(服务器型号戴尔R740xd)。</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条</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18"/>
              </w:rPr>
              <w:t>一</w:t>
            </w:r>
            <w:r>
              <w:rPr>
                <w:rFonts w:ascii="仿宋_GB2312" w:hAnsi="仿宋_GB2312" w:cs="仿宋_GB2312" w:eastAsia="仿宋_GB2312"/>
                <w:sz w:val="18"/>
              </w:rPr>
              <w:t>、服务标准、期限、效率等要求</w:t>
            </w:r>
          </w:p>
          <w:p>
            <w:pPr>
              <w:pStyle w:val="null3"/>
            </w:pPr>
            <w:r>
              <w:rPr>
                <w:rFonts w:ascii="仿宋_GB2312" w:hAnsi="仿宋_GB2312" w:cs="仿宋_GB2312" w:eastAsia="仿宋_GB2312"/>
                <w:sz w:val="18"/>
              </w:rPr>
              <w:t>1、交付要求：</w:t>
            </w:r>
          </w:p>
          <w:p>
            <w:pPr>
              <w:pStyle w:val="null3"/>
            </w:pPr>
            <w:r>
              <w:rPr>
                <w:rFonts w:ascii="仿宋_GB2312" w:hAnsi="仿宋_GB2312" w:cs="仿宋_GB2312" w:eastAsia="仿宋_GB2312"/>
                <w:sz w:val="18"/>
              </w:rPr>
              <w:t>合同签订后</w:t>
            </w:r>
            <w:r>
              <w:rPr>
                <w:rFonts w:ascii="仿宋_GB2312" w:hAnsi="仿宋_GB2312" w:cs="仿宋_GB2312" w:eastAsia="仿宋_GB2312"/>
                <w:sz w:val="18"/>
              </w:rPr>
              <w:t>3个月</w:t>
            </w:r>
            <w:r>
              <w:rPr>
                <w:rFonts w:ascii="仿宋_GB2312" w:hAnsi="仿宋_GB2312" w:cs="仿宋_GB2312" w:eastAsia="仿宋_GB2312"/>
                <w:sz w:val="18"/>
              </w:rPr>
              <w:t>内，完成所有货物的供货、运输（含保险）、现场安装调试及系统上线。</w:t>
            </w:r>
          </w:p>
          <w:p>
            <w:pPr>
              <w:pStyle w:val="null3"/>
            </w:pPr>
            <w:r>
              <w:rPr>
                <w:rFonts w:ascii="仿宋_GB2312" w:hAnsi="仿宋_GB2312" w:cs="仿宋_GB2312" w:eastAsia="仿宋_GB2312"/>
                <w:sz w:val="18"/>
              </w:rPr>
              <w:t>2、安装调试要求：</w:t>
            </w:r>
          </w:p>
          <w:p>
            <w:pPr>
              <w:pStyle w:val="null3"/>
            </w:pPr>
            <w:r>
              <w:rPr>
                <w:rFonts w:ascii="仿宋_GB2312" w:hAnsi="仿宋_GB2312" w:cs="仿宋_GB2312" w:eastAsia="仿宋_GB2312"/>
                <w:sz w:val="18"/>
              </w:rPr>
              <w:t>供应商须派遣认证工程师（提供工程师认证证书）</w:t>
            </w:r>
            <w:r>
              <w:rPr>
                <w:rFonts w:ascii="仿宋_GB2312" w:hAnsi="仿宋_GB2312" w:cs="仿宋_GB2312" w:eastAsia="仿宋_GB2312"/>
                <w:sz w:val="18"/>
              </w:rPr>
              <w:t>，</w:t>
            </w:r>
            <w:r>
              <w:rPr>
                <w:rFonts w:ascii="仿宋_GB2312" w:hAnsi="仿宋_GB2312" w:cs="仿宋_GB2312" w:eastAsia="仿宋_GB2312"/>
                <w:sz w:val="18"/>
              </w:rPr>
              <w:t>需与投标响应文件中拟派人员一致，不得随意更换。</w:t>
            </w:r>
            <w:r>
              <w:rPr>
                <w:rFonts w:ascii="仿宋_GB2312" w:hAnsi="仿宋_GB2312" w:cs="仿宋_GB2312" w:eastAsia="仿宋_GB2312"/>
                <w:sz w:val="18"/>
              </w:rPr>
              <w:t>现场实施，完成硬件部署、软件安装、系统配置及与现有超融合平台的融合调试；调试完成后，配合医院进行</w:t>
            </w:r>
            <w:r>
              <w:rPr>
                <w:rFonts w:ascii="仿宋_GB2312" w:hAnsi="仿宋_GB2312" w:cs="仿宋_GB2312" w:eastAsia="仿宋_GB2312"/>
                <w:sz w:val="18"/>
              </w:rPr>
              <w:t>72小时稳定性测试，测试通过标准为：核心业务虚拟机内存使用率≤70%，存储读写性能满足业务需求，HA机制正常触发，无硬件故障告警。</w:t>
            </w:r>
          </w:p>
          <w:p>
            <w:pPr>
              <w:pStyle w:val="null3"/>
            </w:pPr>
            <w:r>
              <w:rPr>
                <w:rFonts w:ascii="仿宋_GB2312" w:hAnsi="仿宋_GB2312" w:cs="仿宋_GB2312" w:eastAsia="仿宋_GB2312"/>
                <w:sz w:val="18"/>
              </w:rPr>
              <w:t>3、售后服务要求：</w:t>
            </w:r>
          </w:p>
          <w:p>
            <w:pPr>
              <w:pStyle w:val="null3"/>
            </w:pPr>
            <w:r>
              <w:rPr>
                <w:rFonts w:ascii="仿宋_GB2312" w:hAnsi="仿宋_GB2312" w:cs="仿宋_GB2312" w:eastAsia="仿宋_GB2312"/>
                <w:sz w:val="18"/>
              </w:rPr>
              <w:t>质保期：超融合一体机、存储交换机质保期</w:t>
            </w:r>
            <w:r>
              <w:rPr>
                <w:rFonts w:ascii="仿宋_GB2312" w:hAnsi="仿宋_GB2312" w:cs="仿宋_GB2312" w:eastAsia="仿宋_GB2312"/>
                <w:sz w:val="18"/>
              </w:rPr>
              <w:t>3年（含硬件故障免费更换、软件版本升级）；企业级分布式存储提供1年运维服务；</w:t>
            </w:r>
          </w:p>
          <w:p>
            <w:pPr>
              <w:pStyle w:val="null3"/>
            </w:pPr>
            <w:r>
              <w:rPr>
                <w:rFonts w:ascii="仿宋_GB2312" w:hAnsi="仿宋_GB2312" w:cs="仿宋_GB2312" w:eastAsia="仿宋_GB2312"/>
                <w:sz w:val="18"/>
              </w:rPr>
              <w:t>故障响应：质保期内提供</w:t>
            </w:r>
            <w:r>
              <w:rPr>
                <w:rFonts w:ascii="仿宋_GB2312" w:hAnsi="仿宋_GB2312" w:cs="仿宋_GB2312" w:eastAsia="仿宋_GB2312"/>
                <w:sz w:val="18"/>
              </w:rPr>
              <w:t>7×24小时技术支持，故障响应时间≤4小时，工程师到场时间≤24小时；重大故障（导致业务中断）须在6小时内恢复系统运行；</w:t>
            </w:r>
          </w:p>
          <w:p>
            <w:pPr>
              <w:pStyle w:val="null3"/>
            </w:pPr>
            <w:r>
              <w:rPr>
                <w:rFonts w:ascii="仿宋_GB2312" w:hAnsi="仿宋_GB2312" w:cs="仿宋_GB2312" w:eastAsia="仿宋_GB2312"/>
                <w:sz w:val="18"/>
              </w:rPr>
              <w:t>定期维护：每季度提供</w:t>
            </w:r>
            <w:r>
              <w:rPr>
                <w:rFonts w:ascii="仿宋_GB2312" w:hAnsi="仿宋_GB2312" w:cs="仿宋_GB2312" w:eastAsia="仿宋_GB2312"/>
                <w:sz w:val="18"/>
              </w:rPr>
              <w:t>1次远程巡检，每年提供1次现场巡检，形成巡检报告并提交医院。</w:t>
            </w:r>
          </w:p>
          <w:p>
            <w:pPr>
              <w:pStyle w:val="null3"/>
            </w:pPr>
            <w:r>
              <w:rPr>
                <w:rFonts w:ascii="仿宋_GB2312" w:hAnsi="仿宋_GB2312" w:cs="仿宋_GB2312" w:eastAsia="仿宋_GB2312"/>
                <w:sz w:val="18"/>
              </w:rPr>
              <w:t>4、培训服务要求：</w:t>
            </w:r>
          </w:p>
          <w:p>
            <w:pPr>
              <w:pStyle w:val="null3"/>
            </w:pPr>
            <w:r>
              <w:rPr>
                <w:rFonts w:ascii="仿宋_GB2312" w:hAnsi="仿宋_GB2312" w:cs="仿宋_GB2312" w:eastAsia="仿宋_GB2312"/>
                <w:sz w:val="18"/>
              </w:rPr>
              <w:t>交付后</w:t>
            </w:r>
            <w:r>
              <w:rPr>
                <w:rFonts w:ascii="仿宋_GB2312" w:hAnsi="仿宋_GB2312" w:cs="仿宋_GB2312" w:eastAsia="仿宋_GB2312"/>
                <w:sz w:val="18"/>
              </w:rPr>
              <w:t>10个工作日内，为医院运维人员提供1次现场培训，内容包括超融合平台日常运维、故障排查、资源监控等，确保运维人员能独立操作与维护系统。</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自合同签订之日起3个月内完成安装及调试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项目上线运行后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经甲方终验收合格后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1、硬件验收： 所有设备为全新未拆封原厂正品，外观无损坏，配件齐全；供应商需提供原厂质量检测报告、产品合格证、原厂授权文件等资料，资料齐全且符合要求视为硬件验收合格。 2、软件验收：软件为原厂正版授权，版本与采购要求一致，功能正常运行；通过平台license管理界面验证授权有效性，授权合规、功能无异常视为软件验收合格。 3、系统验收：完成72小时稳定性测试，核心指标（核心业务虚拟机内存使用率≤70%、存储读写性能满足业务需求、HA机制正常触发、网络传输速率符合万兆需求、无硬件故障告警）全部达标；医院出具《项目验收报告》，双方签字盖章后视为系统验收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超融合一体机、存储交换机质保期3年（含硬件故障免费更换、软件版本升级）；企业级分布式存储提供1年运维服务；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1、根据《政府采购法实施条例》释义，银行、保险、石油石化、电力、电信等有行业特殊情况的，允许法人的分支机构参加政府采购活动。 2、中标(成交)供应商在中标(成交)结果公告发布后3个工作日内提供叁套响应文件(经编标工具生成的文件直接打印加盖公章），递交的纸质版文件内容确保与线上电子版保持一致，不允许修改和补充。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承诺书+拒绝贿赂承诺书+授权委托书+信用信息.docx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营业执照等证明材料</w:t>
            </w:r>
          </w:p>
        </w:tc>
        <w:tc>
          <w:tcPr>
            <w:tcW w:type="dxa" w:w="3322"/>
          </w:tcPr>
          <w:p>
            <w:pPr>
              <w:pStyle w:val="null3"/>
            </w:pPr>
            <w:r>
              <w:rPr>
                <w:rFonts w:ascii="仿宋_GB2312" w:hAnsi="仿宋_GB2312" w:cs="仿宋_GB2312" w:eastAsia="仿宋_GB2312"/>
              </w:rPr>
              <w:t>供应商应具有独立承担民事责任的能力且具备向采购人提供相关产品的销售能力的企业法人、事业法人、其他组织或者自然人；</w:t>
            </w:r>
          </w:p>
        </w:tc>
        <w:tc>
          <w:tcPr>
            <w:tcW w:type="dxa" w:w="1661"/>
          </w:tcPr>
          <w:p>
            <w:pPr>
              <w:pStyle w:val="null3"/>
            </w:pPr>
            <w:r>
              <w:rPr>
                <w:rFonts w:ascii="仿宋_GB2312" w:hAnsi="仿宋_GB2312" w:cs="仿宋_GB2312" w:eastAsia="仿宋_GB2312"/>
              </w:rPr>
              <w:t>承诺书+拒绝贿赂承诺书+授权委托书+信用信息.docx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具有良好的商业信誉和健全的财务会计制度以及有依法缆纳税收和社会保障资金的良好记录(提供相关证明或承诺)</w:t>
            </w:r>
          </w:p>
        </w:tc>
        <w:tc>
          <w:tcPr>
            <w:tcW w:type="dxa" w:w="3322"/>
          </w:tcPr>
          <w:p>
            <w:pPr>
              <w:pStyle w:val="null3"/>
            </w:pPr>
            <w:r>
              <w:rPr>
                <w:rFonts w:ascii="仿宋_GB2312" w:hAnsi="仿宋_GB2312" w:cs="仿宋_GB2312" w:eastAsia="仿宋_GB2312"/>
              </w:rPr>
              <w:t>（1）财务状况报告：提供2024年度经审计的财务报告（包括“四表一注”，即资产负债表、利润表、现金流量表、所有者权益变动表及其附注，成立时间至提交响应文件截止时间不足一年的可提供成立后任意时段的资产负债表），或其响应文件递交截止之日前三个月内基本开户银行出具的资信证明，或信用担保机构出具的磋商担保函，以上三种形式的资料提供任何一种即可； （2）社保缴纳证明：提供2025年1月1日至响应文件递交截止之日任意一个月的社会保障资金缴存单据或社保机构开具的社会保险参保缴费情况证明。依法不需要缴纳社会保障资金的供应商应提供相关证明文件； （3）税收缴纳证明：提供2025年1月1日至响应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承诺书+拒绝贿赂承诺书+授权委托书+信用信息.docx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 承诺书+拒绝贿赂承诺书+授权委托书+信用信息.docx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投标函 承诺书+拒绝贿赂承诺书+授权委托书+信用信息.docx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承诺书+拒绝贿赂承诺书+授权委托书+信用信息.docx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招标文件要求的其他内容</w:t>
            </w:r>
          </w:p>
        </w:tc>
        <w:tc>
          <w:tcPr>
            <w:tcW w:type="dxa" w:w="3322"/>
          </w:tcPr>
          <w:p>
            <w:pPr>
              <w:pStyle w:val="null3"/>
            </w:pPr>
            <w:r>
              <w:rPr>
                <w:rFonts w:ascii="仿宋_GB2312" w:hAnsi="仿宋_GB2312" w:cs="仿宋_GB2312" w:eastAsia="仿宋_GB2312"/>
              </w:rPr>
              <w:t>投标人对本项目的承诺</w:t>
            </w:r>
          </w:p>
        </w:tc>
        <w:tc>
          <w:tcPr>
            <w:tcW w:type="dxa" w:w="1661"/>
          </w:tcPr>
          <w:p>
            <w:pPr>
              <w:pStyle w:val="null3"/>
            </w:pPr>
            <w:r>
              <w:rPr>
                <w:rFonts w:ascii="仿宋_GB2312" w:hAnsi="仿宋_GB2312" w:cs="仿宋_GB2312" w:eastAsia="仿宋_GB2312"/>
              </w:rPr>
              <w:t>承诺书+拒绝贿赂承诺书+授权委托书+信用信息.docx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应按招标文件要求签署、盖章</w:t>
            </w:r>
          </w:p>
        </w:tc>
        <w:tc>
          <w:tcPr>
            <w:tcW w:type="dxa" w:w="1661"/>
          </w:tcPr>
          <w:p>
            <w:pPr>
              <w:pStyle w:val="null3"/>
            </w:pPr>
            <w:r>
              <w:rPr>
                <w:rFonts w:ascii="仿宋_GB2312" w:hAnsi="仿宋_GB2312" w:cs="仿宋_GB2312" w:eastAsia="仿宋_GB2312"/>
              </w:rPr>
              <w:t>开标一览表 产品技术参数表 分项报价表 投标函 承诺书+拒绝贿赂承诺书+授权委托书+信用信息.docx 中小企业声明函 商务应答表 标的清单 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交货期（服务期）</w:t>
            </w:r>
          </w:p>
        </w:tc>
        <w:tc>
          <w:tcPr>
            <w:tcW w:type="dxa" w:w="3322"/>
          </w:tcPr>
          <w:p>
            <w:pPr>
              <w:pStyle w:val="null3"/>
            </w:pPr>
            <w:r>
              <w:rPr>
                <w:rFonts w:ascii="仿宋_GB2312" w:hAnsi="仿宋_GB2312" w:cs="仿宋_GB2312" w:eastAsia="仿宋_GB2312"/>
              </w:rPr>
              <w:t>应满足招标文件中要求的交货期（服务期）</w:t>
            </w:r>
          </w:p>
        </w:tc>
        <w:tc>
          <w:tcPr>
            <w:tcW w:type="dxa" w:w="1661"/>
          </w:tcPr>
          <w:p>
            <w:pPr>
              <w:pStyle w:val="null3"/>
            </w:pPr>
            <w:r>
              <w:rPr>
                <w:rFonts w:ascii="仿宋_GB2312" w:hAnsi="仿宋_GB2312" w:cs="仿宋_GB2312" w:eastAsia="仿宋_GB2312"/>
              </w:rPr>
              <w:t>开标一览表 分项报价表 投标函 商务应答表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所投产品的技术参数完全符合、响应招标文件要求，没有负偏离计14分。 1、技术参数中标“▲”项的为重要参数，每负偏离一项扣1分。 2、技术参数中非“▲”项的为一般参数，每负偏离一项扣0.5分，扣完为止。注：须提供证明材料（包含但不限于第三方检测报告、彩页、官网截图等）。</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项目实施方案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投标人需针对本项目提供完整的项目实施方案。内容包含：①供货组织安排②实施计划及进度计划③安装调试及验收方案④物理调配及保障措施 二、评审标准：提供详细、合理、科学可行的方案，方案符合本项目采购需求有针对性，以上4项，以序号①、②、③、④为项数，内容无缺项、无漏项且无缺陷的得12分，其中每有一项内容存在缺项或漏项的扣3分，每项内容中每有一处存在缺陷的扣1分，该项分值扣完为止，未提供不得分。 三、赋分说明：“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提供产品的合法来源渠道证明文件（如：产品制造商授权、销售协议、代理协议等），每提供一个产品的合法来源渠道证明文件得1分，满分5分。不提供不得分。 备注：以加盖投标人公章的证明材料为计分依据。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内容包含：①产品质量保障措施；②使用寿命及效果③质量管理体系及目标 二、评审标准：提供详细、合理、科学可行的方案，方案符合本项目采购需求有针对性，以上3项，以序号①、②、③为项数，内容无缺项、无漏项且无缺陷的得9分，其中每有一项内容存在缺项或漏项的扣3分，每项内容中每有一处存在缺陷的扣1分，该项分值扣完为止，未提供不得分。 三、赋分说明：“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一、评审内容：针对培训要求提供培训计划，为采购人培训操作维护人员，以保障使用过程中能熟练操作、维护和正常使用，培训方案内容包含①培训内容及方式②培训计划安排。 二、评审标准：提供详细、合理、科学可行的方案，方案符合本项目采购需求有针对性，以上2项，以序号①、②为项数，内容无缺项、无漏项且无缺陷的得6分，其中每有一项内容存在缺项或漏项的扣3分，每项内容中每有一处存在缺陷的扣1分，该项分值扣完为止，未提供不得分。 三、赋分说明：“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一、评审内容：根据项目实际需求提供售后服务方案。内容包含:①售后服务范围及保障措施②售后服务团队③故障处理及补救措施④响应时间及应急处理方案。 二、评审标准：提供详细、合理、科学可行的方案，方案符合本项目采购需求有针对性，以上4项，以序号①、②、③、④为项数，内容无缺项、无漏项且无缺陷的得8分，其中每有一项内容存在缺项或漏项的扣2分，每项内容中每有一处存在缺陷的扣1分，该项分值扣完为止，未提供不得分。 三、赋分说明：“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提供投标人2022年11月至今同类项目合同（以合同签订日期为准），每提供1个得1分，最高得4分。 备注：投标文件中提供合同复印件。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对商务要求完全响应且优于招标文件要求的每优于一项得1分，最高得2分。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满足招标文件要求且投标价格最低的投标报价为评标基准价，其价格分为满分。其他投标单位的价格分统一按照下列公式计算：投标报价得分=(评标基准价／投标报价)×40%×100。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详见附件：承诺书+拒绝贿赂承诺书+授权委托书+信用信息.docx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