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版本号：JJX-2025-01620250723002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临渭区学校设施设备提升改造护眼灯采购项目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JJX-2025-016</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临渭区学校设施设备提升改造护眼灯采购项目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临渭区学校设施设备提升改造护眼灯采购项目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采购2280个符合国家质量标准及相关要求的LED黑板灯。</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采购包1（临渭区学校设施设备提升改造护眼灯采购项目）：属于专门面向中小企业采购。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3、投标保证金：根据招标文件要求缴纳投标保证金并附缴纳凭证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渭南市临渭区站南街道仓程路南段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0913-2669032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渭南市临渭区三贤路与玉德路十字西北角豪庭佳苑大门东临商铺4层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开户名称：陕西金吉翔项目管理有限公司</w:t>
            </w:r>
          </w:p>
          <w:p>
            <w:pPr>
              <w:pStyle w:val="null3"/>
            </w:pPr>
            <w:r>
              <w:rPr>
                <w:rFonts w:ascii="仿宋_GB2312" w:hAnsi="仿宋_GB2312" w:cs="仿宋_GB2312" w:eastAsia="仿宋_GB2312"/>
              </w:rPr>
              <w:t>开户银行：中国农业银行股份有限公司西安政通路支行</w:t>
            </w:r>
          </w:p>
          <w:p>
            <w:pPr>
              <w:pStyle w:val="null3"/>
            </w:pPr>
            <w:r>
              <w:rPr>
                <w:rFonts w:ascii="仿宋_GB2312" w:hAnsi="仿宋_GB2312" w:cs="仿宋_GB2312" w:eastAsia="仿宋_GB2312"/>
              </w:rPr>
              <w:t>银行账号：26140401040014376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一次性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联系电话：0913-266997</w:t>
      </w:r>
    </w:p>
    <w:p>
      <w:pPr>
        <w:pStyle w:val="null3"/>
      </w:pPr>
      <w:r>
        <w:rPr>
          <w:rFonts w:ascii="仿宋_GB2312" w:hAnsi="仿宋_GB2312" w:cs="仿宋_GB2312" w:eastAsia="仿宋_GB2312"/>
        </w:rPr>
        <w:t>地址：渭南市临渭区东风大街西段城市理想二号楼一楼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采购2280个符合国家质量标准及相关要求的LED黑板灯。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1,820,000.00</w:t>
      </w:r>
    </w:p>
    <w:p>
      <w:pPr>
        <w:pStyle w:val="null3"/>
      </w:pPr>
      <w:r>
        <w:rPr>
          <w:rFonts w:ascii="仿宋_GB2312" w:hAnsi="仿宋_GB2312" w:cs="仿宋_GB2312" w:eastAsia="仿宋_GB2312"/>
        </w:rPr>
        <w:t>采购包最高限价（元）: 1,820,000.00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临渭区学校设施设备提升改造护眼灯采购项目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标的名称：临渭区学校设施设备提升改造护眼灯采购项目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灯具尺寸：长度 1200±10mm；宽度 80±10mm；厚度 40 ±10mm；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▲LED黑板灯额定功率：36±4W；满足功率因数≥0.95；光效≥850m/w色温：5000K ±200K；3、</w:t>
            </w:r>
            <w:r>
              <w:rPr>
                <w:rFonts w:ascii="仿宋_GB2312" w:hAnsi="仿宋_GB2312" w:cs="仿宋_GB2312" w:eastAsia="仿宋_GB2312"/>
                <w:sz w:val="24"/>
              </w:rPr>
              <w:t>▲LED黑板灯色容差：≤2SDCM，显色指数 Ra≥90，R9≥80；色空间不一致性≤0.003</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LED黑板灯光输出波形频率在90Hz＜ƒ≤3125Hz时波动深度≤1%；</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黑板灯光谱透射比</w:t>
            </w:r>
            <w:r>
              <w:rPr>
                <w:rFonts w:ascii="仿宋_GB2312" w:hAnsi="仿宋_GB2312" w:cs="仿宋_GB2312" w:eastAsia="仿宋_GB2312"/>
                <w:sz w:val="24"/>
              </w:rPr>
              <w:t>≥90%；</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▲LED黑板灯防护等级需≥IP54；</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LED黑板灯电源端子传导骚扰电压、辐射骚扰场强、辐射磁感应电流，符合《GB/T 17743-2021》中的相关要求；</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LED黑板灯寿命≥50000小时；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吊杆通过盐雾测试且可承受</w:t>
            </w:r>
            <w:r>
              <w:rPr>
                <w:rFonts w:ascii="仿宋_GB2312" w:hAnsi="仿宋_GB2312" w:cs="仿宋_GB2312" w:eastAsia="仿宋_GB2312"/>
                <w:sz w:val="24"/>
              </w:rPr>
              <w:t>≥</w:t>
            </w:r>
            <w:r>
              <w:rPr>
                <w:rFonts w:ascii="仿宋_GB2312" w:hAnsi="仿宋_GB2312" w:cs="仿宋_GB2312" w:eastAsia="仿宋_GB2312"/>
                <w:sz w:val="24"/>
              </w:rPr>
              <w:t>12倍的灯具重量；</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根据</w:t>
            </w:r>
            <w:r>
              <w:rPr>
                <w:rFonts w:ascii="仿宋_GB2312" w:hAnsi="仿宋_GB2312" w:cs="仿宋_GB2312" w:eastAsia="仿宋_GB2312"/>
                <w:sz w:val="24"/>
              </w:rPr>
              <w:t>GB/T516916-2017，LED 黑板灯垂直燃烧等级要求V-0；需通过 1KV 或以上浪涌冲击抗扰实验；</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LED 黑板灯通过国家强制性 CCC 认证。</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LED黑板灯依据 IEEE 1789-2015 频闪质量特征认证结果为无显著影响水平或无频闪危害；13、</w:t>
            </w:r>
            <w:r>
              <w:rPr>
                <w:rFonts w:ascii="仿宋_GB2312" w:hAnsi="仿宋_GB2312" w:cs="仿宋_GB2312" w:eastAsia="仿宋_GB2312"/>
                <w:sz w:val="24"/>
              </w:rPr>
              <w:t>LED黑板灯的蓝光危害等级为 RG0；</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▲LED黑板灯至少依据以下标准GB/T 26572-2011、GB/T 39560.301-2020、GB/T 39560.4-2021、GB/T 39560.5-2021、GB/T 39560.6-2020、GB/T 39560.701-2020、GB/T 39560.702-2021、GB/T 39560.8-2021获得电器电子产品RoHS认证；</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▲LED黑板灯至少依据GB/T 5700-2023、GB 7000.1-2015、GB 7000.201-2008、GB/T 13379-2023、GB/T 9468-2008、IES LM-79-19标准获得LED灯具严酷环境运行可靠认证证书；</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LED教室灯通过儿童青少年学习用品近视防控卫生要求认证。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合同签订后，所有设备运送至现场，安装调试完成后，中标供应商开具正式发票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项目整体验收合格后，中标供应商开具正式发票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验收合格一年后中标供应商开具正式发票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4、质保期满后：由乙方出具质保期运行质量报告，若存在质量问题，应按相应规定协商处理。 5、验收依据： 5-1、合同文本、合同附件、招标文件、投标文件。 5-2、现行的国家标准或国家行政部门颁布的法律法规、规章制度等，是项目验收的另一个重要依据。没有国家标准的，可以参考行业标准。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1、乙方提供货物必须是原品牌制造厂制造的最新工艺、生产的最新产品。 2、所供货物必须是经过办理正常手续的全新产品。 3、所供货物是经过国家法定检验、注册、准许市场销售的合法产品。 4、货物性能稳定、具有较好的使用效果，质量保证措施完善，符合国家相关标准。 5、质量保证期：质保期内出现质量问题予以免费维修或调换。 6、所选车辆必须保证质量可靠、进货渠道正规，材质、制作符合国家、行业标准合格品要求。 7、所提供的产品符合国家现行标准和相应的技术规范，这些标准和技术规范应为合同签订之日为止最新公布发行的标准和技术规范。</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1、本次报价按照2280个LED黑板灯进行报价，投标人须在分项报价中填写完整。 2、本次招标项目仅有LED黑板灯一项产品，故不设定核心产品。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1日至今其基本账户银行出具的资信证明或政府采购信用担保机构出具的担保函。根据《关于加强审计报告查验工作的通知》（财会〔2023〕15号）相关规定，审计报告须在注册会计师行业统一监管平台http://acc.mof.gov.cn/进行赋码验证，未赋码的审计报告视为无效。</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有依法缴纳税收和社会保障资金的良好记录：提供2025年1月份至今任意一个月依法缴纳税收和社会保障资金的相关材料。</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资格审查资料.pdf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根据招标文件要求缴纳投标保证金并附缴纳凭证</w:t>
            </w:r>
          </w:p>
        </w:tc>
        <w:tc>
          <w:tcPr>
            <w:tcW w:type="dxa" w:w="1661"/>
          </w:tcPr>
          <w:p>
            <w:pPr>
              <w:pStyle w:val="null3"/>
            </w:pPr>
            <w:r>
              <w:rPr>
                <w:rFonts w:ascii="仿宋_GB2312" w:hAnsi="仿宋_GB2312" w:cs="仿宋_GB2312" w:eastAsia="仿宋_GB2312"/>
              </w:rPr>
              <w:t>资格审查资料.pdf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合同签订之日起30天内完成</w:t>
            </w:r>
          </w:p>
        </w:tc>
        <w:tc>
          <w:tcPr>
            <w:tcW w:type="dxa" w:w="1661"/>
          </w:tcPr>
          <w:p>
            <w:pPr>
              <w:pStyle w:val="null3"/>
            </w:pPr>
            <w:r>
              <w:rPr>
                <w:rFonts w:ascii="仿宋_GB2312" w:hAnsi="仿宋_GB2312" w:cs="仿宋_GB2312" w:eastAsia="仿宋_GB2312"/>
              </w:rPr>
              <w:t>开标一览表 投标函 商务要求响应表.docx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自投标文件递交截止之日起90日历天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商务要求响应表.docx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投标响应文件技术指标完全满足招标文件得15分，技术参数标“▲”的指标，每负偏离一项扣0.5分；其他技术参数指标，每负偏离一项扣0.25分；扣完为止。 注：标“▲”的重要指标须提供相应的证明材料包括但不限于（投标产品认证证书、产品说明书、测试报告、检测/检验报告等相关证明材料）。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：①供货组织安排②实施计划及进度计划③安装调试验收④物力调配及保障措施⑤针对可能出现的各类突发情况提供应急解决方案。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20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根据项目实际需求，提供质量保证方案。内容包含①产品性能、使用寿命及效果②运输成品保护方案③计划保证措施④运输时效⑤质量保证措施。 评审标准： 提供详细、合理、科学可行的方案，方案符合本项目采购需求有针对性，以上5项，以序号①、②、③、④、⑤为项数，内容无缺项、无漏项且无缺陷的得15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针对本项目具有可行的技术培训方案。包括①培训计划，含培训计划表、地点、时间及培训对象人数等②培训内容，含所提供产品的原理和技术性能、操作维护方法、安装调试、排除故障等。 评审标准： 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供应商提供2022年7月至今具有类似项目业绩； 基础分：供应商按要求提供一个业绩得3分。 加分项：在基础分要求上每增加一个业绩加1分，此项最多加2分。（投标文件中需附合同复印件并加盖公章，以合同签订时间为准）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1.满足招标文件实质性要求且最终报价最低的供应商的价格为投标基准价，其价格分为满分30分。 2.投标报价得分=（投标基准价/最终投标报价）×30的公式计算得分。 3.投标报价不完整的，不进入评标标准价的计算，本项得0分。 4.经评评标小组一致认定，超过预算金额,其响应将被拒绝。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详见附件：资格审查资料.pdf</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