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版本号：中金咨招[2025]-0151号20250721002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“通则式”规划技术管理规定编制工作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中金咨招[2025]-0151号</w:t>
      </w:r>
      <w:r>
        <w:br/>
      </w:r>
      <w:r>
        <w:br/>
      </w:r>
      <w:r>
        <w:br/>
      </w:r>
    </w:p>
    <w:p>
      <w:pPr>
        <w:pStyle w:val="null3"/>
        <w:jc w:val="center"/>
        <w:outlineLvl w:val="2"/>
      </w:pPr>
      <w:r>
        <w:rPr>
          <w:rFonts w:ascii="仿宋_GB2312" w:hAnsi="仿宋_GB2312" w:cs="仿宋_GB2312" w:eastAsia="仿宋_GB2312"/>
          <w:sz w:val="28"/>
          <w:b/>
        </w:rPr>
        <w:t>渭南市临渭区自然资源局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渭南市临渭区自然资源局</w:t>
      </w:r>
      <w:r>
        <w:rPr>
          <w:rFonts w:ascii="仿宋_GB2312" w:hAnsi="仿宋_GB2312" w:cs="仿宋_GB2312" w:eastAsia="仿宋_GB2312"/>
        </w:rPr>
        <w:t>委托，拟对</w:t>
      </w:r>
      <w:r>
        <w:rPr>
          <w:rFonts w:ascii="仿宋_GB2312" w:hAnsi="仿宋_GB2312" w:cs="仿宋_GB2312" w:eastAsia="仿宋_GB2312"/>
        </w:rPr>
        <w:t>“通则式”规划技术管理规定编制工作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中金咨招[2025]-0151号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“通则式”规划技术管理规定编制工作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该项目位于渭南市临渭区官路镇、故市镇和下邽镇。 编制原则:严守底线。坚持保护优先，严格落实上位规划确定的重要控制线和规划分区管控要求，提高土地节约集约利用水平，加强土地用途管制，严格保护耕地和永久基本农田，严守生态底线，优先保障粮食安全、生态安全、国土安全。 实事求是。以人民需求为中心，统筹优化空间和资源配置，完善基础设施和公共服务设施，保障乡村产业发展空间需求，提升防灾能力和人居环境品质。 以人为本。充分挖掘村庄自然和文化资源，引导农村建房和村庄风貌彰显地域特色，发挥村民主体作用，切实把为村民服务、让村民参与、使村民满意、让村庄宜居作为规划的出发点和落脚点。 简明实用。“通则式规定”成果应通俗易懂、简明扼要、规范平实，易于村民、基层规划管理人员理解和应用，确保规划管用、好用、实用。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2、供应商及项目负责人：供应商须具备城乡规划编制乙级及以上资质证书；拟派项目负责人须具备注册城乡规划师资格或具有相关专业中级及以上职称证且在本单位注册。</w:t>
      </w:r>
    </w:p>
    <w:p>
      <w:pPr>
        <w:pStyle w:val="null3"/>
      </w:pPr>
      <w:r>
        <w:rPr>
          <w:rFonts w:ascii="仿宋_GB2312" w:hAnsi="仿宋_GB2312" w:cs="仿宋_GB2312" w:eastAsia="仿宋_GB2312"/>
        </w:rPr>
        <w:t>3、信用查询：供应商不得被列入“信用中国”网站（www.creditchina.gov.cn）失信被执行人名单、重大税收违法失信主体、政府采购严重违法失信行为记录名单，不得被列入“中国政府采购网”（www.ccgp.gov.cn）政府采购严重违法失信行为记录名单。</w:t>
      </w:r>
    </w:p>
    <w:p>
      <w:pPr>
        <w:pStyle w:val="null3"/>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提供书面声明）</w:t>
      </w:r>
    </w:p>
    <w:p>
      <w:pPr>
        <w:pStyle w:val="null3"/>
      </w:pPr>
      <w:r>
        <w:rPr>
          <w:rFonts w:ascii="仿宋_GB2312" w:hAnsi="仿宋_GB2312" w:cs="仿宋_GB2312" w:eastAsia="仿宋_GB2312"/>
        </w:rPr>
        <w:t>5、本项目不接受联合体投标：本项目不接受联合体投标（提供书面声明）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东风街中段11号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0913-8169153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西安市雁塔区旺座曲江E座1304室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19991956957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代理服务费收费标准：1、代理服务费由成交单位在领取成交通知书时一次性支付。 2、代理服务费的计算方法：以成交价作为基数，参照发改价格[2011]534号文件及《国家发展改革委关于进一步放开建设项目专业服务价格的通知》（发改价格〔2015〕299号）文的规定标准收取。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渭南市临渭区自然资源局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联系人：陈凯</w:t>
      </w:r>
    </w:p>
    <w:p>
      <w:pPr>
        <w:pStyle w:val="null3"/>
      </w:pPr>
      <w:r>
        <w:rPr>
          <w:rFonts w:ascii="仿宋_GB2312" w:hAnsi="仿宋_GB2312" w:cs="仿宋_GB2312" w:eastAsia="仿宋_GB2312"/>
        </w:rPr>
        <w:t>联系电话：19991956957</w:t>
      </w:r>
    </w:p>
    <w:p>
      <w:pPr>
        <w:pStyle w:val="null3"/>
      </w:pPr>
      <w:r>
        <w:rPr>
          <w:rFonts w:ascii="仿宋_GB2312" w:hAnsi="仿宋_GB2312" w:cs="仿宋_GB2312" w:eastAsia="仿宋_GB2312"/>
        </w:rPr>
        <w:t>地址：西安市雁塔区旺座曲江E座1304室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位于渭南市临渭区官路镇、故市镇和下邽镇。编制原则：严守底线。坚持保护优先，严格落实上位规划确定的重要控制线和规划分区管控要求，提高土地节约集约利用水平，加强土地用途管制，严格保护耕地和永久基本农田，严守生态底线，优先保障粮食安全、生态安全、国土安全。 实事求是。以人民需求为中心，统筹优化空间和资源配置，完善基础设施和公共服务设施，保障乡村产业发展空间需求，提升防灾能力和人居环境品质。 以人为本。充分挖掘村庄自然和文化资源，引导农村建房和村庄风貌彰显地域特色，发挥村民主体作用，切实把为村民服务、让村民参与、使村民满意、让村庄宜居作为规划的出发点和落脚点。 简明实用。“通则式规定”成果应通俗易懂、简明扼要、规范平实，易于村民、基层规划管理人员理解和应用，确保规划管用、好用、实用。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“通则式”规划技术管理规定编制工作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标的名称：“通则式”规划技术管理规定编制工作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一、项目名称：</w:t>
            </w:r>
            <w:r>
              <w:rPr>
                <w:rFonts w:ascii="仿宋_GB2312" w:hAnsi="仿宋_GB2312" w:cs="仿宋_GB2312" w:eastAsia="仿宋_GB2312"/>
                <w:sz w:val="28"/>
                <w:b/>
                <w:color w:val="000000"/>
              </w:rPr>
              <w:t>“通则式”规划技术管理规定编制工作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80"/>
              <w:ind w:firstLine="562"/>
              <w:jc w:val="both"/>
            </w:pPr>
            <w:r>
              <w:rPr>
                <w:rFonts w:ascii="仿宋_GB2312" w:hAnsi="仿宋_GB2312" w:cs="仿宋_GB2312" w:eastAsia="仿宋_GB2312"/>
                <w:sz w:val="28"/>
                <w:b/>
                <w:color w:val="000000"/>
              </w:rPr>
              <w:t>二、项目基本情况：</w:t>
            </w:r>
          </w:p>
          <w:p>
            <w:pPr>
              <w:pStyle w:val="null3"/>
              <w:spacing w:before="105" w:after="105"/>
              <w:ind w:firstLine="560"/>
              <w:jc w:val="both"/>
            </w:pPr>
            <w:r>
              <w:rPr>
                <w:rFonts w:ascii="仿宋_GB2312" w:hAnsi="仿宋_GB2312" w:cs="仿宋_GB2312" w:eastAsia="仿宋_GB2312"/>
                <w:sz w:val="28"/>
                <w:color w:val="000000"/>
              </w:rPr>
              <w:t>项目概况：</w:t>
            </w:r>
            <w:r>
              <w:rPr>
                <w:rFonts w:ascii="仿宋_GB2312" w:hAnsi="仿宋_GB2312" w:cs="仿宋_GB2312" w:eastAsia="仿宋_GB2312"/>
                <w:sz w:val="28"/>
              </w:rPr>
              <w:t>该项目位于渭南市临渭区官路镇、故市镇和下邽镇</w:t>
            </w:r>
            <w:r>
              <w:rPr>
                <w:rFonts w:ascii="仿宋_GB2312" w:hAnsi="仿宋_GB2312" w:cs="仿宋_GB2312" w:eastAsia="仿宋_GB2312"/>
                <w:sz w:val="28"/>
              </w:rPr>
              <w:t>。</w:t>
            </w:r>
          </w:p>
          <w:p>
            <w:pPr>
              <w:pStyle w:val="null3"/>
              <w:spacing w:before="105" w:after="105"/>
              <w:ind w:firstLine="560"/>
              <w:jc w:val="both"/>
            </w:pPr>
            <w:r>
              <w:rPr>
                <w:rFonts w:ascii="仿宋_GB2312" w:hAnsi="仿宋_GB2312" w:cs="仿宋_GB2312" w:eastAsia="仿宋_GB2312"/>
                <w:sz w:val="28"/>
              </w:rPr>
              <w:t>编制原则</w:t>
            </w:r>
            <w:r>
              <w:rPr>
                <w:rFonts w:ascii="仿宋_GB2312" w:hAnsi="仿宋_GB2312" w:cs="仿宋_GB2312" w:eastAsia="仿宋_GB2312"/>
                <w:sz w:val="28"/>
              </w:rPr>
              <w:t>:</w:t>
            </w:r>
            <w:r>
              <w:rPr>
                <w:rFonts w:ascii="仿宋_GB2312" w:hAnsi="仿宋_GB2312" w:cs="仿宋_GB2312" w:eastAsia="仿宋_GB2312"/>
                <w:sz w:val="28"/>
              </w:rPr>
              <w:t>严守底线。坚持保护优先，严格落实上位规划确定的重要控制线和规划分区管控要求，提高土地节约集约利用水平，加强土地用途管制，严格保护耕地和永久基本农田，严守生态底线，优先保障粮食安全、生态安全、国土安全。</w:t>
            </w:r>
          </w:p>
          <w:p>
            <w:pPr>
              <w:pStyle w:val="null3"/>
              <w:spacing w:before="105" w:after="105"/>
              <w:ind w:firstLine="560"/>
              <w:jc w:val="left"/>
            </w:pPr>
            <w:r>
              <w:rPr>
                <w:rFonts w:ascii="仿宋_GB2312" w:hAnsi="仿宋_GB2312" w:cs="仿宋_GB2312" w:eastAsia="仿宋_GB2312"/>
                <w:sz w:val="28"/>
              </w:rPr>
              <w:t>实事求是。以人民需求为中心，统筹优化空间和资源配置，完善基础设施和公共服务设施，保障乡村产业发展空间需求，提升防灾能力和人居环境品质。</w:t>
            </w:r>
          </w:p>
          <w:p>
            <w:pPr>
              <w:pStyle w:val="null3"/>
              <w:spacing w:before="105" w:after="105"/>
              <w:ind w:firstLine="560"/>
              <w:jc w:val="left"/>
            </w:pPr>
            <w:r>
              <w:rPr>
                <w:rFonts w:ascii="仿宋_GB2312" w:hAnsi="仿宋_GB2312" w:cs="仿宋_GB2312" w:eastAsia="仿宋_GB2312"/>
                <w:sz w:val="28"/>
              </w:rPr>
              <w:t>以人为本。充分挖掘村庄自然和文化资源，引导农村建房和村庄风貌彰显地域特色，发挥村民主体作用，切实把为村民服务、让村民参与、使村民满意、让村庄宜居作为规划的出发点和落脚点。</w:t>
            </w:r>
          </w:p>
          <w:p>
            <w:pPr>
              <w:pStyle w:val="null3"/>
              <w:spacing w:before="105" w:after="105"/>
              <w:ind w:firstLine="560"/>
              <w:jc w:val="left"/>
            </w:pPr>
            <w:r>
              <w:rPr>
                <w:rFonts w:ascii="仿宋_GB2312" w:hAnsi="仿宋_GB2312" w:cs="仿宋_GB2312" w:eastAsia="仿宋_GB2312"/>
                <w:sz w:val="28"/>
              </w:rPr>
              <w:t>简明实用。</w:t>
            </w:r>
            <w:r>
              <w:rPr>
                <w:rFonts w:ascii="仿宋_GB2312" w:hAnsi="仿宋_GB2312" w:cs="仿宋_GB2312" w:eastAsia="仿宋_GB2312"/>
                <w:sz w:val="28"/>
              </w:rPr>
              <w:t>“通则式规定”成果应通俗易懂、简明扼要、规范平实，易于村民、基层规划管理人员理解和应用，确保规划管用、好用、实用。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80"/>
              <w:ind w:firstLine="562"/>
              <w:jc w:val="both"/>
            </w:pPr>
            <w:r>
              <w:rPr>
                <w:rFonts w:ascii="仿宋_GB2312" w:hAnsi="仿宋_GB2312" w:cs="仿宋_GB2312" w:eastAsia="仿宋_GB2312"/>
                <w:sz w:val="28"/>
                <w:b/>
                <w:color w:val="000000"/>
              </w:rPr>
              <w:t>三、技术、服务要求：</w:t>
            </w:r>
          </w:p>
          <w:p>
            <w:pPr>
              <w:pStyle w:val="null3"/>
              <w:spacing w:before="180"/>
              <w:ind w:firstLine="560"/>
              <w:jc w:val="both"/>
            </w:pPr>
            <w:r>
              <w:rPr>
                <w:rFonts w:ascii="仿宋_GB2312" w:hAnsi="仿宋_GB2312" w:cs="仿宋_GB2312" w:eastAsia="仿宋_GB2312"/>
                <w:sz w:val="28"/>
                <w:color w:val="000000"/>
              </w:rPr>
              <w:t>1、服务内容：对临渭区三镇开展“通则式”规划技术管理规定编制工作。</w:t>
            </w:r>
          </w:p>
          <w:p>
            <w:pPr>
              <w:pStyle w:val="null3"/>
              <w:ind w:firstLine="560"/>
              <w:jc w:val="both"/>
            </w:pPr>
            <w:r>
              <w:rPr>
                <w:rFonts w:ascii="仿宋_GB2312" w:hAnsi="仿宋_GB2312" w:cs="仿宋_GB2312" w:eastAsia="仿宋_GB2312"/>
                <w:sz w:val="28"/>
                <w:color w:val="000000"/>
              </w:rPr>
              <w:t>2、规划设计要求：</w:t>
            </w:r>
          </w:p>
          <w:p>
            <w:pPr>
              <w:pStyle w:val="null3"/>
              <w:ind w:firstLine="560"/>
              <w:jc w:val="both"/>
            </w:pPr>
            <w:r>
              <w:rPr>
                <w:rFonts w:ascii="仿宋_GB2312" w:hAnsi="仿宋_GB2312" w:cs="仿宋_GB2312" w:eastAsia="仿宋_GB2312"/>
                <w:sz w:val="28"/>
                <w:color w:val="000000"/>
              </w:rPr>
              <w:t>2.1 供应商负责完成村庄规划编制，供应商承诺成交后按采购人的需求进行规划编制。</w:t>
            </w:r>
          </w:p>
          <w:p>
            <w:pPr>
              <w:pStyle w:val="null3"/>
              <w:ind w:firstLine="560"/>
              <w:jc w:val="both"/>
            </w:pPr>
            <w:r>
              <w:rPr>
                <w:rFonts w:ascii="仿宋_GB2312" w:hAnsi="仿宋_GB2312" w:cs="仿宋_GB2312" w:eastAsia="仿宋_GB2312"/>
                <w:sz w:val="28"/>
                <w:color w:val="000000"/>
              </w:rPr>
              <w:t>2.2 对采购人的修改意见进行完善，保证其规划意图的最终实现。</w:t>
            </w:r>
          </w:p>
          <w:p>
            <w:pPr>
              <w:pStyle w:val="null3"/>
              <w:ind w:firstLine="560"/>
              <w:jc w:val="both"/>
            </w:pPr>
            <w:r>
              <w:rPr>
                <w:rFonts w:ascii="仿宋_GB2312" w:hAnsi="仿宋_GB2312" w:cs="仿宋_GB2312" w:eastAsia="仿宋_GB2312"/>
                <w:sz w:val="28"/>
                <w:color w:val="000000"/>
              </w:rPr>
              <w:t>2.3 协助采购人进行报审工作，根据审查结果进行修改调整，并最终向采购人提交正式的规划成果。</w:t>
            </w:r>
          </w:p>
          <w:p>
            <w:pPr>
              <w:pStyle w:val="null3"/>
              <w:ind w:firstLine="560"/>
              <w:jc w:val="both"/>
            </w:pPr>
            <w:r>
              <w:rPr>
                <w:rFonts w:ascii="仿宋_GB2312" w:hAnsi="仿宋_GB2312" w:cs="仿宋_GB2312" w:eastAsia="仿宋_GB2312"/>
                <w:sz w:val="28"/>
                <w:color w:val="000000"/>
              </w:rPr>
              <w:t>2.4 根据采购人要求，及时参加与规划编制有关的会议，现场解决技术问题。</w:t>
            </w:r>
          </w:p>
          <w:p>
            <w:pPr>
              <w:pStyle w:val="null3"/>
              <w:ind w:firstLine="560"/>
              <w:jc w:val="both"/>
            </w:pPr>
            <w:r>
              <w:rPr>
                <w:rFonts w:ascii="仿宋_GB2312" w:hAnsi="仿宋_GB2312" w:cs="仿宋_GB2312" w:eastAsia="仿宋_GB2312"/>
                <w:sz w:val="28"/>
                <w:color w:val="000000"/>
              </w:rPr>
              <w:t>2.5 提交的成果文件应符合国家相关规范、行业标准及采购人要求。</w:t>
            </w:r>
          </w:p>
          <w:p>
            <w:pPr>
              <w:pStyle w:val="null3"/>
              <w:ind w:firstLine="560"/>
              <w:jc w:val="both"/>
            </w:pPr>
            <w:r>
              <w:rPr>
                <w:rFonts w:ascii="仿宋_GB2312" w:hAnsi="仿宋_GB2312" w:cs="仿宋_GB2312" w:eastAsia="仿宋_GB2312"/>
                <w:sz w:val="28"/>
                <w:color w:val="000000"/>
              </w:rPr>
              <w:t>3、执行的国家相关标准、行业标准、地方标准或者其他标准、 规范标准：</w:t>
            </w:r>
          </w:p>
          <w:p>
            <w:pPr>
              <w:pStyle w:val="null3"/>
              <w:ind w:firstLine="560"/>
              <w:jc w:val="both"/>
            </w:pPr>
            <w:r>
              <w:rPr>
                <w:rFonts w:ascii="仿宋_GB2312" w:hAnsi="仿宋_GB2312" w:cs="仿宋_GB2312" w:eastAsia="仿宋_GB2312"/>
                <w:sz w:val="28"/>
                <w:color w:val="000000"/>
              </w:rPr>
              <w:t xml:space="preserve">3.1 </w:t>
            </w:r>
            <w:r>
              <w:rPr>
                <w:rFonts w:ascii="仿宋_GB2312" w:hAnsi="仿宋_GB2312" w:cs="仿宋_GB2312" w:eastAsia="仿宋_GB2312"/>
                <w:sz w:val="28"/>
              </w:rPr>
              <w:t>《中共中央于建立国土空间规划体系并监督实施的若干意见》</w:t>
            </w:r>
            <w:r>
              <w:rPr>
                <w:rFonts w:ascii="仿宋_GB2312" w:hAnsi="仿宋_GB2312" w:cs="仿宋_GB2312" w:eastAsia="仿宋_GB2312"/>
                <w:sz w:val="28"/>
              </w:rPr>
              <w:t>(中发</w:t>
            </w:r>
            <w:r>
              <w:rPr>
                <w:rFonts w:ascii="仿宋_GB2312" w:hAnsi="仿宋_GB2312" w:cs="仿宋_GB2312" w:eastAsia="仿宋_GB2312"/>
                <w:sz w:val="32"/>
              </w:rPr>
              <w:t>〔</w:t>
            </w:r>
            <w:r>
              <w:rPr>
                <w:rFonts w:ascii="仿宋_GB2312" w:hAnsi="仿宋_GB2312" w:cs="仿宋_GB2312" w:eastAsia="仿宋_GB2312"/>
                <w:sz w:val="28"/>
              </w:rPr>
              <w:t>2019</w:t>
            </w:r>
            <w:r>
              <w:rPr>
                <w:rFonts w:ascii="仿宋_GB2312" w:hAnsi="仿宋_GB2312" w:cs="仿宋_GB2312" w:eastAsia="仿宋_GB2312"/>
                <w:sz w:val="32"/>
              </w:rPr>
              <w:t>〕</w:t>
            </w:r>
            <w:r>
              <w:rPr>
                <w:rFonts w:ascii="仿宋_GB2312" w:hAnsi="仿宋_GB2312" w:cs="仿宋_GB2312" w:eastAsia="仿宋_GB2312"/>
                <w:sz w:val="28"/>
              </w:rPr>
              <w:t>18号)</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 xml:space="preserve">3.2 </w:t>
            </w:r>
            <w:r>
              <w:rPr>
                <w:rFonts w:ascii="仿宋_GB2312" w:hAnsi="仿宋_GB2312" w:cs="仿宋_GB2312" w:eastAsia="仿宋_GB2312"/>
                <w:sz w:val="28"/>
              </w:rPr>
              <w:t>《中央农办农业农村部自然资源部国家发展改革委</w:t>
            </w:r>
            <w:r>
              <w:rPr>
                <w:rFonts w:ascii="仿宋_GB2312" w:hAnsi="仿宋_GB2312" w:cs="仿宋_GB2312" w:eastAsia="仿宋_GB2312"/>
                <w:sz w:val="28"/>
              </w:rPr>
              <w:t>财政部关于统筹推进村庄规划的意见》</w:t>
            </w:r>
            <w:r>
              <w:rPr>
                <w:rFonts w:ascii="仿宋_GB2312" w:hAnsi="仿宋_GB2312" w:cs="仿宋_GB2312" w:eastAsia="仿宋_GB2312"/>
                <w:sz w:val="28"/>
              </w:rPr>
              <w:t>(农规发</w:t>
            </w:r>
            <w:r>
              <w:rPr>
                <w:rFonts w:ascii="仿宋_GB2312" w:hAnsi="仿宋_GB2312" w:cs="仿宋_GB2312" w:eastAsia="仿宋_GB2312"/>
                <w:sz w:val="32"/>
              </w:rPr>
              <w:t>〔</w:t>
            </w:r>
            <w:r>
              <w:rPr>
                <w:rFonts w:ascii="仿宋_GB2312" w:hAnsi="仿宋_GB2312" w:cs="仿宋_GB2312" w:eastAsia="仿宋_GB2312"/>
                <w:sz w:val="28"/>
              </w:rPr>
              <w:t>2019</w:t>
            </w:r>
            <w:r>
              <w:rPr>
                <w:rFonts w:ascii="仿宋_GB2312" w:hAnsi="仿宋_GB2312" w:cs="仿宋_GB2312" w:eastAsia="仿宋_GB2312"/>
                <w:sz w:val="32"/>
              </w:rPr>
              <w:t>〕</w:t>
            </w:r>
            <w:r>
              <w:rPr>
                <w:rFonts w:ascii="仿宋_GB2312" w:hAnsi="仿宋_GB2312" w:cs="仿宋_GB2312" w:eastAsia="仿宋_GB2312"/>
                <w:sz w:val="28"/>
              </w:rPr>
              <w:t>1号)</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 xml:space="preserve">3.3 </w:t>
            </w:r>
            <w:r>
              <w:rPr>
                <w:rFonts w:ascii="仿宋_GB2312" w:hAnsi="仿宋_GB2312" w:cs="仿宋_GB2312" w:eastAsia="仿宋_GB2312"/>
                <w:sz w:val="28"/>
              </w:rPr>
              <w:t>《自然资源部办公厅关于加强村庄规划促进乡村振兴的通知》</w:t>
            </w:r>
            <w:r>
              <w:rPr>
                <w:rFonts w:ascii="仿宋_GB2312" w:hAnsi="仿宋_GB2312" w:cs="仿宋_GB2312" w:eastAsia="仿宋_GB2312"/>
                <w:sz w:val="28"/>
              </w:rPr>
              <w:t>(自然资办发</w:t>
            </w:r>
            <w:r>
              <w:rPr>
                <w:rFonts w:ascii="仿宋_GB2312" w:hAnsi="仿宋_GB2312" w:cs="仿宋_GB2312" w:eastAsia="仿宋_GB2312"/>
                <w:sz w:val="32"/>
              </w:rPr>
              <w:t>〔</w:t>
            </w:r>
            <w:r>
              <w:rPr>
                <w:rFonts w:ascii="仿宋_GB2312" w:hAnsi="仿宋_GB2312" w:cs="仿宋_GB2312" w:eastAsia="仿宋_GB2312"/>
                <w:sz w:val="28"/>
              </w:rPr>
              <w:t>2019</w:t>
            </w:r>
            <w:r>
              <w:rPr>
                <w:rFonts w:ascii="仿宋_GB2312" w:hAnsi="仿宋_GB2312" w:cs="仿宋_GB2312" w:eastAsia="仿宋_GB2312"/>
                <w:sz w:val="32"/>
              </w:rPr>
              <w:t>〕</w:t>
            </w:r>
            <w:r>
              <w:rPr>
                <w:rFonts w:ascii="仿宋_GB2312" w:hAnsi="仿宋_GB2312" w:cs="仿宋_GB2312" w:eastAsia="仿宋_GB2312"/>
                <w:sz w:val="28"/>
              </w:rPr>
              <w:t>35号)</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 xml:space="preserve">3.4 </w:t>
            </w:r>
            <w:r>
              <w:rPr>
                <w:rFonts w:ascii="仿宋_GB2312" w:hAnsi="仿宋_GB2312" w:cs="仿宋_GB2312" w:eastAsia="仿宋_GB2312"/>
                <w:sz w:val="28"/>
              </w:rPr>
              <w:t>中共陕西省委办公厅陕西省人民政府办公厅关于印发《陕西省深入学习浙江</w:t>
            </w:r>
            <w:r>
              <w:rPr>
                <w:rFonts w:ascii="仿宋_GB2312" w:hAnsi="仿宋_GB2312" w:cs="仿宋_GB2312" w:eastAsia="仿宋_GB2312"/>
                <w:sz w:val="28"/>
              </w:rPr>
              <w:t>“千万工程 ”经验扎实推进农村人居环境整治的实施意见》的通知(陕办字</w:t>
            </w:r>
            <w:r>
              <w:rPr>
                <w:rFonts w:ascii="仿宋_GB2312" w:hAnsi="仿宋_GB2312" w:cs="仿宋_GB2312" w:eastAsia="仿宋_GB2312"/>
                <w:sz w:val="32"/>
              </w:rPr>
              <w:t>〔</w:t>
            </w:r>
            <w:r>
              <w:rPr>
                <w:rFonts w:ascii="仿宋_GB2312" w:hAnsi="仿宋_GB2312" w:cs="仿宋_GB2312" w:eastAsia="仿宋_GB2312"/>
                <w:sz w:val="28"/>
              </w:rPr>
              <w:t>2019</w:t>
            </w:r>
            <w:r>
              <w:rPr>
                <w:rFonts w:ascii="仿宋_GB2312" w:hAnsi="仿宋_GB2312" w:cs="仿宋_GB2312" w:eastAsia="仿宋_GB2312"/>
                <w:sz w:val="32"/>
              </w:rPr>
              <w:t>〕</w:t>
            </w:r>
            <w:r>
              <w:rPr>
                <w:rFonts w:ascii="仿宋_GB2312" w:hAnsi="仿宋_GB2312" w:cs="仿宋_GB2312" w:eastAsia="仿宋_GB2312"/>
                <w:sz w:val="28"/>
              </w:rPr>
              <w:t>103号)</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 xml:space="preserve">3.5 </w:t>
            </w:r>
            <w:r>
              <w:rPr>
                <w:rFonts w:ascii="仿宋_GB2312" w:hAnsi="仿宋_GB2312" w:cs="仿宋_GB2312" w:eastAsia="仿宋_GB2312"/>
                <w:sz w:val="28"/>
              </w:rPr>
              <w:t>《陕西省自然资源厅关于印发</w:t>
            </w:r>
            <w:r>
              <w:rPr>
                <w:rFonts w:ascii="仿宋_GB2312" w:hAnsi="仿宋_GB2312" w:cs="仿宋_GB2312" w:eastAsia="仿宋_GB2312"/>
                <w:sz w:val="28"/>
              </w:rPr>
              <w:t>2019年全省村庄规划工作要点的通知》(陕自然资发</w:t>
            </w:r>
            <w:r>
              <w:rPr>
                <w:rFonts w:ascii="仿宋_GB2312" w:hAnsi="仿宋_GB2312" w:cs="仿宋_GB2312" w:eastAsia="仿宋_GB2312"/>
                <w:sz w:val="32"/>
              </w:rPr>
              <w:t>〔</w:t>
            </w:r>
            <w:r>
              <w:rPr>
                <w:rFonts w:ascii="仿宋_GB2312" w:hAnsi="仿宋_GB2312" w:cs="仿宋_GB2312" w:eastAsia="仿宋_GB2312"/>
                <w:sz w:val="28"/>
              </w:rPr>
              <w:t>2019</w:t>
            </w:r>
            <w:r>
              <w:rPr>
                <w:rFonts w:ascii="仿宋_GB2312" w:hAnsi="仿宋_GB2312" w:cs="仿宋_GB2312" w:eastAsia="仿宋_GB2312"/>
                <w:sz w:val="32"/>
              </w:rPr>
              <w:t>〕</w:t>
            </w:r>
            <w:r>
              <w:rPr>
                <w:rFonts w:ascii="仿宋_GB2312" w:hAnsi="仿宋_GB2312" w:cs="仿宋_GB2312" w:eastAsia="仿宋_GB2312"/>
                <w:sz w:val="28"/>
              </w:rPr>
              <w:t>26号)</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 xml:space="preserve">3.6 </w:t>
            </w:r>
            <w:r>
              <w:rPr>
                <w:rFonts w:ascii="仿宋_GB2312" w:hAnsi="仿宋_GB2312" w:cs="仿宋_GB2312" w:eastAsia="仿宋_GB2312"/>
                <w:sz w:val="28"/>
              </w:rPr>
              <w:t>《中华人民共和国土地管理法》</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 xml:space="preserve">3.7 </w:t>
            </w:r>
            <w:r>
              <w:rPr>
                <w:rFonts w:ascii="仿宋_GB2312" w:hAnsi="仿宋_GB2312" w:cs="仿宋_GB2312" w:eastAsia="仿宋_GB2312"/>
                <w:sz w:val="28"/>
              </w:rPr>
              <w:t>《中华人民共和国城乡规划法》；</w:t>
            </w:r>
          </w:p>
          <w:p>
            <w:pPr>
              <w:pStyle w:val="null3"/>
              <w:spacing w:before="180"/>
              <w:ind w:firstLine="560"/>
              <w:jc w:val="both"/>
            </w:pPr>
            <w:r>
              <w:rPr>
                <w:rFonts w:ascii="仿宋_GB2312" w:hAnsi="仿宋_GB2312" w:cs="仿宋_GB2312" w:eastAsia="仿宋_GB2312"/>
                <w:sz w:val="28"/>
                <w:color w:val="000000"/>
              </w:rPr>
              <w:t xml:space="preserve">3.8 </w:t>
            </w:r>
            <w:r>
              <w:rPr>
                <w:rFonts w:ascii="仿宋_GB2312" w:hAnsi="仿宋_GB2312" w:cs="仿宋_GB2312" w:eastAsia="仿宋_GB2312"/>
                <w:sz w:val="28"/>
              </w:rPr>
              <w:t>《中华人民共和国环境保护法》</w:t>
            </w:r>
            <w:r>
              <w:rPr>
                <w:rFonts w:ascii="仿宋_GB2312" w:hAnsi="仿宋_GB2312" w:cs="仿宋_GB2312" w:eastAsia="仿宋_GB2312"/>
                <w:sz w:val="28"/>
              </w:rPr>
              <w:t>;</w:t>
            </w:r>
          </w:p>
          <w:p>
            <w:pPr>
              <w:pStyle w:val="null3"/>
              <w:spacing w:before="180"/>
              <w:ind w:firstLine="560"/>
              <w:jc w:val="left"/>
            </w:pPr>
            <w:r>
              <w:rPr>
                <w:rFonts w:ascii="仿宋_GB2312" w:hAnsi="仿宋_GB2312" w:cs="仿宋_GB2312" w:eastAsia="仿宋_GB2312"/>
                <w:sz w:val="28"/>
                <w:color w:val="000000"/>
              </w:rPr>
              <w:t xml:space="preserve">3.9 </w:t>
            </w:r>
            <w:r>
              <w:rPr>
                <w:rFonts w:ascii="仿宋_GB2312" w:hAnsi="仿宋_GB2312" w:cs="仿宋_GB2312" w:eastAsia="仿宋_GB2312"/>
                <w:sz w:val="28"/>
              </w:rPr>
              <w:t>《土地利用现状分类》</w:t>
            </w:r>
            <w:r>
              <w:rPr>
                <w:rFonts w:ascii="仿宋_GB2312" w:hAnsi="仿宋_GB2312" w:cs="仿宋_GB2312" w:eastAsia="仿宋_GB2312"/>
                <w:sz w:val="28"/>
              </w:rPr>
              <w:t>(GB/T21010-2017);</w:t>
            </w:r>
          </w:p>
          <w:p>
            <w:pPr>
              <w:pStyle w:val="null3"/>
              <w:spacing w:before="180"/>
              <w:ind w:firstLine="560"/>
              <w:jc w:val="both"/>
            </w:pPr>
            <w:r>
              <w:rPr>
                <w:rFonts w:ascii="仿宋_GB2312" w:hAnsi="仿宋_GB2312" w:cs="仿宋_GB2312" w:eastAsia="仿宋_GB2312"/>
                <w:sz w:val="28"/>
                <w:color w:val="000000"/>
              </w:rPr>
              <w:t xml:space="preserve">3.10 </w:t>
            </w:r>
            <w:r>
              <w:rPr>
                <w:rFonts w:ascii="仿宋_GB2312" w:hAnsi="仿宋_GB2312" w:cs="仿宋_GB2312" w:eastAsia="仿宋_GB2312"/>
                <w:sz w:val="28"/>
              </w:rPr>
              <w:t>《渭南市国土空间总体规划</w:t>
            </w:r>
            <w:r>
              <w:rPr>
                <w:rFonts w:ascii="仿宋_GB2312" w:hAnsi="仿宋_GB2312" w:cs="仿宋_GB2312" w:eastAsia="仿宋_GB2312"/>
                <w:sz w:val="28"/>
              </w:rPr>
              <w:t>(2021-2035年)》;</w:t>
            </w:r>
          </w:p>
          <w:p>
            <w:pPr>
              <w:pStyle w:val="null3"/>
              <w:spacing w:before="180"/>
              <w:ind w:firstLine="560"/>
              <w:jc w:val="both"/>
            </w:pPr>
            <w:r>
              <w:rPr>
                <w:rFonts w:ascii="仿宋_GB2312" w:hAnsi="仿宋_GB2312" w:cs="仿宋_GB2312" w:eastAsia="仿宋_GB2312"/>
                <w:sz w:val="28"/>
                <w:color w:val="000000"/>
              </w:rPr>
              <w:t xml:space="preserve">3.11 </w:t>
            </w:r>
            <w:r>
              <w:rPr>
                <w:rFonts w:ascii="仿宋_GB2312" w:hAnsi="仿宋_GB2312" w:cs="仿宋_GB2312" w:eastAsia="仿宋_GB2312"/>
                <w:sz w:val="28"/>
              </w:rPr>
              <w:t>《渭南市临渭区国土空间总体规划</w:t>
            </w:r>
            <w:r>
              <w:rPr>
                <w:rFonts w:ascii="仿宋_GB2312" w:hAnsi="仿宋_GB2312" w:cs="仿宋_GB2312" w:eastAsia="仿宋_GB2312"/>
                <w:sz w:val="28"/>
              </w:rPr>
              <w:t>(2021-2035年)》;</w:t>
            </w:r>
          </w:p>
          <w:p>
            <w:pPr>
              <w:pStyle w:val="null3"/>
              <w:spacing w:before="180"/>
              <w:ind w:firstLine="560"/>
              <w:jc w:val="both"/>
            </w:pPr>
            <w:r>
              <w:rPr>
                <w:rFonts w:ascii="仿宋_GB2312" w:hAnsi="仿宋_GB2312" w:cs="仿宋_GB2312" w:eastAsia="仿宋_GB2312"/>
                <w:sz w:val="28"/>
                <w:color w:val="000000"/>
              </w:rPr>
              <w:t xml:space="preserve">3.12 </w:t>
            </w:r>
            <w:r>
              <w:rPr>
                <w:rFonts w:ascii="仿宋_GB2312" w:hAnsi="仿宋_GB2312" w:cs="仿宋_GB2312" w:eastAsia="仿宋_GB2312"/>
                <w:sz w:val="28"/>
              </w:rPr>
              <w:t>《陕西省乡村地区</w:t>
            </w:r>
            <w:r>
              <w:rPr>
                <w:rFonts w:ascii="仿宋_GB2312" w:hAnsi="仿宋_GB2312" w:cs="仿宋_GB2312" w:eastAsia="仿宋_GB2312"/>
                <w:sz w:val="28"/>
              </w:rPr>
              <w:t>“通则式”规划技术管理规定编制要点(试行)》;</w:t>
            </w:r>
          </w:p>
          <w:p>
            <w:pPr>
              <w:pStyle w:val="null3"/>
              <w:spacing w:before="180"/>
              <w:ind w:firstLine="560"/>
              <w:jc w:val="both"/>
            </w:pPr>
            <w:r>
              <w:rPr>
                <w:rFonts w:ascii="仿宋_GB2312" w:hAnsi="仿宋_GB2312" w:cs="仿宋_GB2312" w:eastAsia="仿宋_GB2312"/>
                <w:sz w:val="28"/>
                <w:color w:val="000000"/>
              </w:rPr>
              <w:t xml:space="preserve">3.13 </w:t>
            </w:r>
            <w:r>
              <w:rPr>
                <w:rFonts w:ascii="仿宋_GB2312" w:hAnsi="仿宋_GB2312" w:cs="仿宋_GB2312" w:eastAsia="仿宋_GB2312"/>
                <w:sz w:val="28"/>
              </w:rPr>
              <w:t>其他相关国家及地方标准、文件。</w:t>
            </w:r>
          </w:p>
          <w:p>
            <w:pPr>
              <w:pStyle w:val="null3"/>
              <w:spacing w:before="180"/>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14</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供应商在规划工作中使用或参考上述标准、规范以外的技术标准、规范时，应征得采购人或采购人的指定代表人的同意。</w:t>
            </w:r>
          </w:p>
          <w:p>
            <w:pPr>
              <w:pStyle w:val="null3"/>
              <w:spacing w:before="180"/>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15</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在规划编制过程中，如果国家或有关部门颁布了新的技术标准或规范，则供应商应采用新的标准或规范进行工作。</w:t>
            </w:r>
          </w:p>
          <w:p>
            <w:pPr>
              <w:pStyle w:val="null3"/>
              <w:spacing w:before="180"/>
              <w:ind w:firstLine="560"/>
              <w:jc w:val="both"/>
            </w:pPr>
            <w:r>
              <w:rPr>
                <w:rFonts w:ascii="仿宋_GB2312" w:hAnsi="仿宋_GB2312" w:cs="仿宋_GB2312" w:eastAsia="仿宋_GB2312"/>
                <w:sz w:val="28"/>
                <w:color w:val="000000"/>
              </w:rPr>
              <w:t>4、保密要求：</w:t>
            </w:r>
          </w:p>
          <w:p>
            <w:pPr>
              <w:pStyle w:val="null3"/>
              <w:spacing w:before="180"/>
              <w:ind w:firstLine="560"/>
              <w:jc w:val="both"/>
            </w:pPr>
            <w:r>
              <w:rPr>
                <w:rFonts w:ascii="仿宋_GB2312" w:hAnsi="仿宋_GB2312" w:cs="仿宋_GB2312" w:eastAsia="仿宋_GB2312"/>
                <w:sz w:val="28"/>
                <w:color w:val="000000"/>
              </w:rPr>
              <w:t>本项目的一切成果所有权归采购人所有，供应商应对成果进行保密不外泄。</w:t>
            </w:r>
          </w:p>
          <w:p>
            <w:pPr>
              <w:pStyle w:val="null3"/>
              <w:spacing w:before="45"/>
              <w:ind w:firstLine="560"/>
              <w:jc w:val="both"/>
            </w:pPr>
            <w:r>
              <w:rPr>
                <w:rFonts w:ascii="仿宋_GB2312" w:hAnsi="仿宋_GB2312" w:cs="仿宋_GB2312" w:eastAsia="仿宋_GB2312"/>
                <w:sz w:val="28"/>
                <w:color w:val="000000"/>
              </w:rPr>
              <w:t>5、成果要求：</w:t>
            </w:r>
          </w:p>
          <w:p>
            <w:pPr>
              <w:pStyle w:val="null3"/>
              <w:spacing w:before="45"/>
              <w:ind w:firstLine="560"/>
              <w:jc w:val="both"/>
            </w:pPr>
            <w:r>
              <w:rPr>
                <w:rFonts w:ascii="仿宋_GB2312" w:hAnsi="仿宋_GB2312" w:cs="仿宋_GB2312" w:eastAsia="仿宋_GB2312"/>
                <w:sz w:val="28"/>
                <w:color w:val="000000"/>
              </w:rPr>
              <w:t>“通则式规定”成果包含规划技术管理规定和图件。</w:t>
            </w:r>
          </w:p>
          <w:p>
            <w:pPr>
              <w:pStyle w:val="null3"/>
              <w:spacing w:before="45"/>
              <w:ind w:firstLine="560"/>
              <w:jc w:val="both"/>
            </w:pPr>
            <w:r>
              <w:rPr>
                <w:rFonts w:ascii="仿宋_GB2312" w:hAnsi="仿宋_GB2312" w:cs="仿宋_GB2312" w:eastAsia="仿宋_GB2312"/>
                <w:sz w:val="28"/>
                <w:color w:val="000000"/>
              </w:rPr>
              <w:t>规划技术管理规定主要以条文形式进行阐述，各地可对不同村庄的相同管控要求按照底线管控、规划管理等编制内容分类规定，可不逐村单独表述，表达形式应言简意赅、通俗易懂。规划技术管理规定成果以专章形式纳入乡镇级国土空间规划文本。</w:t>
            </w:r>
          </w:p>
          <w:p>
            <w:pPr>
              <w:pStyle w:val="null3"/>
              <w:spacing w:before="45"/>
              <w:ind w:firstLine="560"/>
              <w:jc w:val="both"/>
            </w:pPr>
            <w:r>
              <w:rPr>
                <w:rFonts w:ascii="仿宋_GB2312" w:hAnsi="仿宋_GB2312" w:cs="仿宋_GB2312" w:eastAsia="仿宋_GB2312"/>
                <w:sz w:val="28"/>
                <w:color w:val="000000"/>
              </w:rPr>
              <w:t>图件为村域国土空间规划图和村庄建设用地管控图，表达形式应清晰易识别。图件成果以村庄为单位，附于乡镇级国土空间规划成果图件之后。图件应长期在村庄宣传栏展示、供村民查阅使用。</w:t>
            </w:r>
          </w:p>
          <w:p>
            <w:pPr>
              <w:pStyle w:val="null3"/>
              <w:spacing w:before="45"/>
              <w:ind w:firstLine="560"/>
              <w:jc w:val="both"/>
            </w:pPr>
            <w:r>
              <w:rPr>
                <w:rFonts w:ascii="仿宋_GB2312" w:hAnsi="仿宋_GB2312" w:cs="仿宋_GB2312" w:eastAsia="仿宋_GB2312"/>
                <w:sz w:val="28"/>
                <w:color w:val="000000"/>
              </w:rPr>
              <w:t>规划数据库建设应符合国土空间规划</w:t>
            </w:r>
            <w:r>
              <w:rPr>
                <w:rFonts w:ascii="仿宋_GB2312" w:hAnsi="仿宋_GB2312" w:cs="仿宋_GB2312" w:eastAsia="仿宋_GB2312"/>
                <w:sz w:val="28"/>
                <w:color w:val="000000"/>
              </w:rPr>
              <w:t>“一张图”统一标准和要求,纳入县级国土空间规划数据库，可不单独建设规划数据库。</w:t>
            </w:r>
          </w:p>
          <w:p>
            <w:pPr>
              <w:pStyle w:val="null3"/>
              <w:spacing w:before="45"/>
              <w:ind w:firstLine="560"/>
              <w:jc w:val="both"/>
            </w:pPr>
            <w:r>
              <w:rPr>
                <w:rFonts w:ascii="仿宋_GB2312" w:hAnsi="仿宋_GB2312" w:cs="仿宋_GB2312" w:eastAsia="仿宋_GB2312"/>
                <w:sz w:val="28"/>
                <w:color w:val="000000"/>
              </w:rPr>
              <w:t>6、其他要求：</w:t>
            </w:r>
          </w:p>
          <w:p>
            <w:pPr>
              <w:pStyle w:val="null3"/>
              <w:jc w:val="both"/>
            </w:pPr>
            <w:r>
              <w:rPr>
                <w:rFonts w:ascii="仿宋_GB2312" w:hAnsi="仿宋_GB2312" w:cs="仿宋_GB2312" w:eastAsia="仿宋_GB2312"/>
                <w:sz w:val="28"/>
                <w:color w:val="000000"/>
              </w:rPr>
              <w:t xml:space="preserve">    本合同为固定总价合同，合同总价即成交价，不受市场价变化或实际工作量变化的影响。</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需无条件配合</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完成本项目后续评审或需调整</w:t>
            </w:r>
            <w:r>
              <w:rPr>
                <w:rFonts w:ascii="仿宋_GB2312" w:hAnsi="仿宋_GB2312" w:cs="仿宋_GB2312" w:eastAsia="仿宋_GB2312"/>
                <w:sz w:val="28"/>
                <w:color w:val="000000"/>
              </w:rPr>
              <w:t>编制</w:t>
            </w:r>
            <w:r>
              <w:rPr>
                <w:rFonts w:ascii="仿宋_GB2312" w:hAnsi="仿宋_GB2312" w:cs="仿宋_GB2312" w:eastAsia="仿宋_GB2312"/>
                <w:sz w:val="28"/>
                <w:color w:val="000000"/>
              </w:rPr>
              <w:t>等相关事宜，确保项目的完整性及有效性。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45"/>
              <w:ind w:firstLine="562"/>
              <w:jc w:val="both"/>
            </w:pPr>
            <w:r>
              <w:rPr>
                <w:rFonts w:ascii="仿宋_GB2312" w:hAnsi="仿宋_GB2312" w:cs="仿宋_GB2312" w:eastAsia="仿宋_GB2312"/>
                <w:sz w:val="28"/>
                <w:b/>
                <w:color w:val="000000"/>
              </w:rPr>
              <w:t>四、商务要求：</w:t>
            </w:r>
          </w:p>
          <w:p>
            <w:pPr>
              <w:pStyle w:val="null3"/>
              <w:spacing w:before="180"/>
              <w:ind w:firstLine="560"/>
              <w:jc w:val="both"/>
            </w:pPr>
            <w:r>
              <w:rPr>
                <w:rFonts w:ascii="仿宋_GB2312" w:hAnsi="仿宋_GB2312" w:cs="仿宋_GB2312" w:eastAsia="仿宋_GB2312"/>
                <w:sz w:val="28"/>
                <w:color w:val="000000"/>
              </w:rPr>
              <w:t>1、服务期及</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地点：</w:t>
            </w:r>
          </w:p>
          <w:p>
            <w:pPr>
              <w:pStyle w:val="null3"/>
              <w:spacing w:before="180"/>
              <w:ind w:firstLine="560"/>
              <w:jc w:val="both"/>
            </w:pPr>
            <w:r>
              <w:rPr>
                <w:rFonts w:ascii="仿宋_GB2312" w:hAnsi="仿宋_GB2312" w:cs="仿宋_GB2312" w:eastAsia="仿宋_GB2312"/>
                <w:sz w:val="28"/>
                <w:color w:val="000000"/>
              </w:rPr>
              <w:t>1.1 服务期：自合同签订之日起至2025年12月31日前完成所有规划编制工作。(具体服务起止日期以合同签订时间为准)</w:t>
            </w:r>
          </w:p>
          <w:p>
            <w:pPr>
              <w:pStyle w:val="null3"/>
              <w:spacing w:before="180"/>
              <w:ind w:firstLine="560"/>
              <w:jc w:val="both"/>
            </w:pP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地点：</w:t>
            </w:r>
            <w:r>
              <w:rPr>
                <w:rFonts w:ascii="仿宋_GB2312" w:hAnsi="仿宋_GB2312" w:cs="仿宋_GB2312" w:eastAsia="仿宋_GB2312"/>
                <w:sz w:val="28"/>
              </w:rPr>
              <w:t>渭南市临渭区</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2、支付方式：</w:t>
            </w:r>
          </w:p>
          <w:p>
            <w:pPr>
              <w:pStyle w:val="null3"/>
              <w:spacing w:before="180"/>
              <w:ind w:firstLine="560"/>
              <w:jc w:val="both"/>
            </w:pPr>
            <w:r>
              <w:rPr>
                <w:rFonts w:ascii="仿宋_GB2312" w:hAnsi="仿宋_GB2312" w:cs="仿宋_GB2312" w:eastAsia="仿宋_GB2312"/>
                <w:sz w:val="28"/>
                <w:color w:val="000000"/>
              </w:rPr>
              <w:t>2.1 付款方式：</w:t>
            </w:r>
          </w:p>
          <w:p>
            <w:pPr>
              <w:pStyle w:val="null3"/>
              <w:spacing w:before="180"/>
              <w:ind w:firstLine="560"/>
              <w:jc w:val="both"/>
            </w:pPr>
            <w:r>
              <w:rPr>
                <w:rFonts w:ascii="仿宋_GB2312" w:hAnsi="仿宋_GB2312" w:cs="仿宋_GB2312" w:eastAsia="仿宋_GB2312"/>
                <w:sz w:val="28"/>
                <w:color w:val="000000"/>
              </w:rPr>
              <w:t>本项目付款方式为</w:t>
            </w:r>
            <w:r>
              <w:rPr>
                <w:rFonts w:ascii="仿宋_GB2312" w:hAnsi="仿宋_GB2312" w:cs="仿宋_GB2312" w:eastAsia="仿宋_GB2312"/>
                <w:sz w:val="28"/>
                <w:color w:val="000000"/>
              </w:rPr>
              <w:t>:一次性付款</w:t>
            </w:r>
            <w:r>
              <w:rPr>
                <w:rFonts w:ascii="仿宋_GB2312" w:hAnsi="仿宋_GB2312" w:cs="仿宋_GB2312" w:eastAsia="仿宋_GB2312"/>
                <w:sz w:val="28"/>
                <w:color w:val="000000"/>
              </w:rPr>
              <w:t>；</w:t>
            </w:r>
            <w:r>
              <w:rPr>
                <w:rFonts w:ascii="仿宋_GB2312" w:hAnsi="仿宋_GB2312" w:cs="仿宋_GB2312" w:eastAsia="仿宋_GB2312"/>
                <w:sz w:val="28"/>
                <w:color w:val="000000"/>
              </w:rPr>
              <w:t>成交</w:t>
            </w:r>
            <w:r>
              <w:rPr>
                <w:rFonts w:ascii="仿宋_GB2312" w:hAnsi="仿宋_GB2312" w:cs="仿宋_GB2312" w:eastAsia="仿宋_GB2312"/>
                <w:sz w:val="28"/>
                <w:color w:val="000000"/>
              </w:rPr>
              <w:t>单位完成本项目所有内容，并验收通过后，</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一次</w:t>
            </w:r>
            <w:r>
              <w:rPr>
                <w:rFonts w:ascii="仿宋_GB2312" w:hAnsi="仿宋_GB2312" w:cs="仿宋_GB2312" w:eastAsia="仿宋_GB2312"/>
                <w:sz w:val="28"/>
                <w:color w:val="000000"/>
              </w:rPr>
              <w:t>付</w:t>
            </w:r>
            <w:r>
              <w:rPr>
                <w:rFonts w:ascii="仿宋_GB2312" w:hAnsi="仿宋_GB2312" w:cs="仿宋_GB2312" w:eastAsia="仿宋_GB2312"/>
                <w:sz w:val="28"/>
                <w:color w:val="000000"/>
              </w:rPr>
              <w:t>清本项目所有费用。</w:t>
            </w:r>
          </w:p>
          <w:p>
            <w:pPr>
              <w:pStyle w:val="null3"/>
              <w:spacing w:before="45"/>
              <w:ind w:firstLine="560"/>
              <w:jc w:val="both"/>
            </w:pPr>
            <w:r>
              <w:rPr>
                <w:rFonts w:ascii="仿宋_GB2312" w:hAnsi="仿宋_GB2312" w:cs="仿宋_GB2312" w:eastAsia="仿宋_GB2312"/>
                <w:sz w:val="28"/>
                <w:color w:val="000000"/>
              </w:rPr>
              <w:t>2.2 结算方式：银行转账。</w:t>
            </w:r>
          </w:p>
          <w:p>
            <w:pPr>
              <w:pStyle w:val="null3"/>
              <w:spacing w:before="180"/>
              <w:ind w:firstLine="560"/>
              <w:jc w:val="both"/>
            </w:pPr>
            <w:r>
              <w:rPr>
                <w:rFonts w:ascii="仿宋_GB2312" w:hAnsi="仿宋_GB2312" w:cs="仿宋_GB2312" w:eastAsia="仿宋_GB2312"/>
                <w:sz w:val="28"/>
                <w:color w:val="000000"/>
              </w:rPr>
              <w:t xml:space="preserve">2.3 </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支付款项前，</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应提供符合</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要求的合法税务发票。否则，</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有权暂停支付相应款项。</w:t>
            </w:r>
          </w:p>
          <w:p>
            <w:pPr>
              <w:pStyle w:val="null3"/>
              <w:spacing w:before="180"/>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要求：符合</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陕西省乡村地区</w:t>
            </w:r>
            <w:r>
              <w:rPr>
                <w:rFonts w:ascii="仿宋_GB2312" w:hAnsi="仿宋_GB2312" w:cs="仿宋_GB2312" w:eastAsia="仿宋_GB2312"/>
                <w:sz w:val="28"/>
                <w:color w:val="000000"/>
              </w:rPr>
              <w:t>“通则式”规划技术管理规定编制要点(试行)</w:t>
            </w:r>
            <w:r>
              <w:rPr>
                <w:rFonts w:ascii="仿宋_GB2312" w:hAnsi="仿宋_GB2312" w:cs="仿宋_GB2312" w:eastAsia="仿宋_GB2312"/>
                <w:sz w:val="28"/>
                <w:color w:val="000000"/>
              </w:rPr>
              <w:t>》</w:t>
            </w:r>
            <w:r>
              <w:rPr>
                <w:rFonts w:ascii="仿宋_GB2312" w:hAnsi="仿宋_GB2312" w:cs="仿宋_GB2312" w:eastAsia="仿宋_GB2312"/>
                <w:sz w:val="28"/>
                <w:color w:val="000000"/>
              </w:rPr>
              <w:t>要求</w:t>
            </w:r>
            <w:r>
              <w:rPr>
                <w:rFonts w:ascii="仿宋_GB2312" w:hAnsi="仿宋_GB2312" w:cs="仿宋_GB2312" w:eastAsia="仿宋_GB2312"/>
                <w:sz w:val="28"/>
                <w:color w:val="000000"/>
              </w:rPr>
              <w:t>，</w:t>
            </w:r>
            <w:r>
              <w:rPr>
                <w:rFonts w:ascii="仿宋_GB2312" w:hAnsi="仿宋_GB2312" w:cs="仿宋_GB2312" w:eastAsia="仿宋_GB2312"/>
                <w:sz w:val="28"/>
                <w:color w:val="000000"/>
              </w:rPr>
              <w:t>并执行国家、省有关法律法规政策</w:t>
            </w:r>
            <w:r>
              <w:rPr>
                <w:rFonts w:ascii="仿宋_GB2312" w:hAnsi="仿宋_GB2312" w:cs="仿宋_GB2312" w:eastAsia="仿宋_GB2312"/>
                <w:sz w:val="28"/>
                <w:color w:val="000000"/>
              </w:rPr>
              <w:t>。</w:t>
            </w:r>
          </w:p>
          <w:p>
            <w:pPr>
              <w:pStyle w:val="null3"/>
              <w:spacing w:before="180"/>
              <w:ind w:firstLine="560"/>
              <w:jc w:val="both"/>
            </w:pPr>
            <w:r>
              <w:rPr>
                <w:rFonts w:ascii="仿宋_GB2312" w:hAnsi="仿宋_GB2312" w:cs="仿宋_GB2312" w:eastAsia="仿宋_GB2312"/>
                <w:sz w:val="28"/>
                <w:color w:val="000000"/>
              </w:rPr>
              <w:t>4、违约责任：</w:t>
            </w:r>
          </w:p>
          <w:p>
            <w:pPr>
              <w:pStyle w:val="null3"/>
              <w:spacing w:before="180"/>
              <w:ind w:firstLine="560"/>
              <w:jc w:val="both"/>
            </w:pPr>
            <w:r>
              <w:rPr>
                <w:rFonts w:ascii="仿宋_GB2312" w:hAnsi="仿宋_GB2312" w:cs="仿宋_GB2312" w:eastAsia="仿宋_GB2312"/>
                <w:sz w:val="28"/>
                <w:color w:val="000000"/>
              </w:rPr>
              <w:t>4.1 按《中华人民共和国民法典》等相关法律法规中的相关条款执行。</w:t>
            </w:r>
          </w:p>
          <w:p>
            <w:pPr>
              <w:pStyle w:val="null3"/>
              <w:spacing w:before="180"/>
              <w:ind w:firstLine="560"/>
              <w:jc w:val="both"/>
            </w:pPr>
            <w:r>
              <w:rPr>
                <w:rFonts w:ascii="仿宋_GB2312" w:hAnsi="仿宋_GB2312" w:cs="仿宋_GB2312" w:eastAsia="仿宋_GB2312"/>
                <w:sz w:val="28"/>
                <w:color w:val="000000"/>
              </w:rPr>
              <w:t>4.2 未达到国家相关规范、行业标准及采购人要求，由成交供应商负责整改，并承担相关费用，由此引起一切经济损失及政治影响由成交供应商承担。</w:t>
            </w:r>
          </w:p>
          <w:p>
            <w:pPr>
              <w:pStyle w:val="null3"/>
              <w:spacing w:before="45"/>
              <w:ind w:firstLine="560"/>
              <w:jc w:val="both"/>
            </w:pPr>
            <w:r>
              <w:rPr>
                <w:rFonts w:ascii="仿宋_GB2312" w:hAnsi="仿宋_GB2312" w:cs="仿宋_GB2312" w:eastAsia="仿宋_GB2312"/>
                <w:sz w:val="28"/>
                <w:color w:val="000000"/>
              </w:rPr>
              <w:t>5、验收：</w:t>
            </w:r>
          </w:p>
          <w:p>
            <w:pPr>
              <w:pStyle w:val="null3"/>
              <w:spacing w:before="180"/>
              <w:ind w:firstLine="560"/>
              <w:jc w:val="both"/>
            </w:pPr>
            <w:r>
              <w:rPr>
                <w:rFonts w:ascii="仿宋_GB2312" w:hAnsi="仿宋_GB2312" w:cs="仿宋_GB2312" w:eastAsia="仿宋_GB2312"/>
                <w:sz w:val="28"/>
                <w:color w:val="000000"/>
              </w:rPr>
              <w:t>5.1 验收要求：符合村庄规划编制技术要求和行业规范。</w:t>
            </w:r>
          </w:p>
          <w:p>
            <w:pPr>
              <w:pStyle w:val="null3"/>
              <w:spacing w:before="180"/>
              <w:ind w:firstLine="560"/>
              <w:jc w:val="both"/>
            </w:pPr>
            <w:r>
              <w:rPr>
                <w:rFonts w:ascii="仿宋_GB2312" w:hAnsi="仿宋_GB2312" w:cs="仿宋_GB2312" w:eastAsia="仿宋_GB2312"/>
                <w:sz w:val="28"/>
                <w:color w:val="000000"/>
              </w:rPr>
              <w:t>5.2 验收依据：符合村庄规划编制技术要求和行业规范</w:t>
            </w:r>
            <w:r>
              <w:rPr>
                <w:rFonts w:ascii="仿宋_GB2312" w:hAnsi="仿宋_GB2312" w:cs="仿宋_GB2312" w:eastAsia="仿宋_GB2312"/>
                <w:sz w:val="28"/>
                <w:color w:val="000000"/>
              </w:rPr>
              <w:t>及</w:t>
            </w:r>
            <w:r>
              <w:rPr>
                <w:rFonts w:ascii="仿宋_GB2312" w:hAnsi="仿宋_GB2312" w:cs="仿宋_GB2312" w:eastAsia="仿宋_GB2312"/>
                <w:sz w:val="28"/>
                <w:color w:val="000000"/>
              </w:rPr>
              <w:t>国家相关的标准和规范。</w:t>
            </w:r>
          </w:p>
          <w:p>
            <w:pPr>
              <w:pStyle w:val="null3"/>
              <w:spacing w:before="180"/>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、其它要求：</w:t>
            </w:r>
          </w:p>
          <w:p>
            <w:pPr>
              <w:pStyle w:val="null3"/>
              <w:spacing w:before="180"/>
              <w:ind w:right="180"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.1 成交供应商在服务实施过程中的安全责任由供应商负全责，采购人不承担任何安全责任。</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.2 其它未尽事宜由采购人与成交供应商在采购合同中约定。</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自合同签订之日起至2025年12月31日前完成所有规划编制工作。(具体服务起止日期以合同签订时间为准)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符合村庄规划编制技术要求和行业规范。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一次性付款；中标单位完成本项目所有内容，并验收通过后，甲方一次付清本项目所有费用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甲乙双方签订合同时具体约定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1、代理服务费由成交单位在领取成交通知书时一次性支付。 2、代理服务费的计算方法：以成交价作为基数，参照发改价格[2011]534号文件及《国家发展改革委关于进一步放开建设项目专业服务价格的通知》（发改价格〔2015〕299号）文的规定标准收取。服务费可以采取银行转账或现金等方式支付。 3、成交供应商在中标(成交)结果公告结束后3个工作日内向代理机构提供纸质版响应文件，响应文件为正本1份，副本3份，电子U盘3份(U盘内容包括Word版本、签字盖章扫描后的PDF版本响应文件及电子投标书)。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财务状况报告：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 3.社会保障资金缴纳证明：提供已缴存的2024年度至开标前任意一个月的社会保障资金缴存单据或社保机构开具的社会保险参保缴费情况证明，单据或证明上应有社保机构或代收机构的公章。依法不需要缴纳社会保障资金的供应商应提供相关文件证明。 4.税收缴纳证明：提供已缴纳的2024年度至今任意一个月的纳税证明或完税证明，纳税证明或完税证明上应有代收机构或税务机关的公章。依法免税的供应商应提供相关文件证明。 5.履约承诺：供应商须提供具有履行合同所必需的设备和专业技术能力的承诺。 6.没有重大违法记录的书面声明：出具参加本次政府采购活动前三年内在经营活动中没有重大违法记录的书面声明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供应商及项目负责人</w:t>
            </w:r>
          </w:p>
        </w:tc>
        <w:tc>
          <w:tcPr>
            <w:tcW w:type="dxa" w:w="3322"/>
          </w:tcPr>
          <w:p>
            <w:pPr>
              <w:pStyle w:val="null3"/>
            </w:pPr>
            <w:r>
              <w:rPr>
                <w:rFonts w:ascii="仿宋_GB2312" w:hAnsi="仿宋_GB2312" w:cs="仿宋_GB2312" w:eastAsia="仿宋_GB2312"/>
              </w:rPr>
              <w:t>供应商须具备城乡规划编制乙级及以上资质证书；拟派项目负责人须具备注册城乡规划师资格或具有相关专业中级及以上职称证且在本单位注册。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www.creditchina.gov.cn）失信被执行人名单、重大税收违法失信主体、政府采购严重违法失信行为记录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磋商响应文件签字盖章、格式</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供应商参加政府采购活动承诺书.docx 服务内容及服务邀请应答表 供应商认为有必要说明的其他资料.docx 中小企业声明函 商务应答表 报价表 资格证明文件.docx 供应商概况.docx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供应商报价是固定价且未超过预算金额（采购文件有最高限价的，报价未超过最高限价）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现状理解及分析</w:t>
            </w:r>
          </w:p>
        </w:tc>
        <w:tc>
          <w:tcPr>
            <w:tcW w:type="dxa" w:w="2492"/>
          </w:tcPr>
          <w:p>
            <w:pPr>
              <w:pStyle w:val="null3"/>
            </w:pPr>
            <w:r>
              <w:rPr>
                <w:rFonts w:ascii="仿宋_GB2312" w:hAnsi="仿宋_GB2312" w:cs="仿宋_GB2312" w:eastAsia="仿宋_GB2312"/>
              </w:rPr>
              <w:t>项目理解到位、分析准确，掌握项目各项工作要求，任务分析全面完善，计12-9.1分； 项目理解基本准确，了解项目相关情况，基本掌握项目各项工作要求，任务分析基本全面，计9-6.1分； 项目理解有欠缺，相关情况了解有欠缺，掌握项目基础工作要求，任务分析片面，计6-3.1分； 项目理解不准确，任务分析有欠缺，计3-0分； 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总体规划编制思路</w:t>
            </w:r>
          </w:p>
        </w:tc>
        <w:tc>
          <w:tcPr>
            <w:tcW w:type="dxa" w:w="2492"/>
          </w:tcPr>
          <w:p>
            <w:pPr>
              <w:pStyle w:val="null3"/>
            </w:pPr>
            <w:r>
              <w:rPr>
                <w:rFonts w:ascii="仿宋_GB2312" w:hAnsi="仿宋_GB2312" w:cs="仿宋_GB2312" w:eastAsia="仿宋_GB2312"/>
              </w:rPr>
              <w:t>思路合理、严谨、清晰，方案完整，描述详尽，针对性、可行性强，得12-9.1分； 思路较合理、清晰，方案较完整，描述清晰，针对性、可行性一般，得9-6.1分； 思路基本明确、合理，方案普遍通用，描述简单，针对性、可行性一般，得6-3.1分； 思路需进一步梳理，方案不完整，描述模糊，针对性、可行性欠缺，得3-0分； 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A.人员组织架构完整，岗位设置合理、明确，技术人员专业性、经验性强，且对本项目有针对性，得10-6.1分； B.人员组织架构有待优化，技术人员岗位设置基本合理，人员专业性、经验性一般，得6-3.1分； C.人员组织架构不完整，人员岗位设置紧张，技术人员专业性、经验性欠缺，得3-0分； D.其他或未提供得0分。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进度计划及保障</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A.进度安排合理可行，进度保证措施详细、工作节点清晰，得10-6.1分； B.进度安排基本合理，进度保证措施不明确，需进一步协调，得6-3.1分；C.进度安排不合理，进度保证措施简单，得3-0分； D.其他或未提供得0分。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A.质量保障措施描述严谨、完整合理、切实可行，针对性、可行性强，得11-8.1分； B.质量保障措施描述清晰但不够完整，基本合理性，针对性、可行性一般，得8-5.1分； C.质量保障措施描述简单，合理性、严谨度一般，针对性、可行性一般，得5-2.1分； D.质量保障措施描述不够清晰，合理性一般，针对性、可行性欠缺，得2-0分； E.其他或未提供得0分。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对项目重难点、关键性技术问题的认识及其对策措施： A.对项目重难点、关键性技术问题的把握准确、分析到位，所提供的对策措施完善，有较强的针对性，得10-7.1分； B.对项目重难点、关键性技术问题的把握基本准确、分析简单，所提供的对策措施合理，有一定的针对性，得7-4.1分； C.对项目重难点、关键性技术问题的把握有偏差、分析欠缺，所提供的对策措施简单普遍，对本项目没有针对性，得4-0分。 D.其他或未提供得0分。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日至今类似项目业绩，1个得5分，最高15分。（以合同或协议签订日期为准，响应文件中附加盖公章的合同或协议复印件，否则不作为评审依据）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A.承诺内容全面，描述详尽，针对性、可行性强，得10-7.1分； B.承诺内容较全面，描述较详尽，针对性、可行性一般，得7-4.1分； C.承诺内容简单，描述粗略，针对性、可行性一般得4-2.1分； D.承诺内容简单笼统，针对性、可行性欠缺，得2-0分； E.其他或未提供得0分。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