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版本号：LWQZFCG2025-00420250717001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临渭区学校设施设备提升改造智慧黑板采购项目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LWQZFCG2025-004</w:t>
      </w:r>
      <w:r>
        <w:br/>
      </w:r>
      <w:r>
        <w:br/>
      </w:r>
      <w:r>
        <w:br/>
      </w:r>
    </w:p>
    <w:p>
      <w:pPr>
        <w:pStyle w:val="null3"/>
        <w:jc w:val="center"/>
        <w:outlineLvl w:val="2"/>
      </w:pPr>
      <w:r>
        <w:rPr>
          <w:rFonts w:ascii="仿宋_GB2312" w:hAnsi="仿宋_GB2312" w:cs="仿宋_GB2312" w:eastAsia="仿宋_GB2312"/>
          <w:sz w:val="28"/>
          <w:b/>
        </w:rPr>
        <w:t>渭南市临渭区教育体育局</w:t>
      </w:r>
    </w:p>
    <w:p>
      <w:pPr>
        <w:pStyle w:val="null3"/>
        <w:jc w:val="center"/>
        <w:outlineLvl w:val="2"/>
      </w:pPr>
      <w:r>
        <w:rPr>
          <w:rFonts w:ascii="仿宋_GB2312" w:hAnsi="仿宋_GB2312" w:cs="仿宋_GB2312" w:eastAsia="仿宋_GB2312"/>
          <w:sz w:val="28"/>
          <w:b/>
        </w:rPr>
        <w:t>临渭区政府采购中心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临渭区政府采购中心</w:t>
      </w:r>
      <w:r>
        <w:rPr>
          <w:rFonts w:ascii="仿宋_GB2312" w:hAnsi="仿宋_GB2312" w:cs="仿宋_GB2312" w:eastAsia="仿宋_GB2312"/>
        </w:rPr>
        <w:t>（以下简称“代理机构”）受</w:t>
      </w:r>
      <w:r>
        <w:rPr>
          <w:rFonts w:ascii="仿宋_GB2312" w:hAnsi="仿宋_GB2312" w:cs="仿宋_GB2312" w:eastAsia="仿宋_GB2312"/>
        </w:rPr>
        <w:t>渭南市临渭区教育体育局</w:t>
      </w:r>
      <w:r>
        <w:rPr>
          <w:rFonts w:ascii="仿宋_GB2312" w:hAnsi="仿宋_GB2312" w:cs="仿宋_GB2312" w:eastAsia="仿宋_GB2312"/>
        </w:rPr>
        <w:t>委托，拟对</w:t>
      </w:r>
      <w:r>
        <w:rPr>
          <w:rFonts w:ascii="仿宋_GB2312" w:hAnsi="仿宋_GB2312" w:cs="仿宋_GB2312" w:eastAsia="仿宋_GB2312"/>
        </w:rPr>
        <w:t>临渭区学校设施设备提升改造智慧黑板采购项目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LWQZFCG2025-004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临渭区学校设施设备提升改造智慧黑板采购项目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提高教学质量，保障教育教学工作正常进行，满足学生学习及教师教学需求。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1、营业执照等证明文件：供应商须提供合法注册的法人或其他组织的营业执照等证明文件</w:t>
      </w:r>
    </w:p>
    <w:p>
      <w:pPr>
        <w:pStyle w:val="null3"/>
      </w:pPr>
      <w:r>
        <w:rPr>
          <w:rFonts w:ascii="仿宋_GB2312" w:hAnsi="仿宋_GB2312" w:cs="仿宋_GB2312" w:eastAsia="仿宋_GB2312"/>
        </w:rPr>
        <w:t>2、法定代表人授权委托书：供应商应授权合法的人员参加投标全过程，其中法定代表人直接参加投标的，须提供法定代表人身份证明书。法定代表人授权代表参加投标的，须提供法定代表人授权书。</w:t>
      </w:r>
    </w:p>
    <w:p>
      <w:pPr>
        <w:pStyle w:val="null3"/>
      </w:pPr>
      <w:r>
        <w:rPr>
          <w:rFonts w:ascii="仿宋_GB2312" w:hAnsi="仿宋_GB2312" w:cs="仿宋_GB2312" w:eastAsia="仿宋_GB2312"/>
        </w:rPr>
        <w:t>3、税收及社保缴纳证明：提供响应文件递交截止时间前一年内任意一个月的税收缴费凭据；依法免税的应提供相关文件证明；提供响应文件递交截止时间前一年内任意一个月的社保缴费凭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4、财务审计报告或资信证明：提供具有财务审计资质单位出具的2024年度财务报告（成立时间至开标时间不足一年的可提供成立后任意时段的资产负债表）或开标前六个月内其基本账户银行出具的资信证明或政府采购信用担保机构出具的担保函。（以上三种形式的资料提供任意一种即可）</w:t>
      </w:r>
    </w:p>
    <w:p>
      <w:pPr>
        <w:pStyle w:val="null3"/>
      </w:pPr>
      <w:r>
        <w:rPr>
          <w:rFonts w:ascii="仿宋_GB2312" w:hAnsi="仿宋_GB2312" w:cs="仿宋_GB2312" w:eastAsia="仿宋_GB2312"/>
        </w:rPr>
        <w:t>5、合同书面声明及承诺：提供具有履行合同所必需的设备和专业技术能力的承诺。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6、参加政府采购活动前三年内在经营活动中没有重大违法记录的书面声明：提供参加政府采购活动前3年内在经营活动中没有重大违法记录的书面声明。</w:t>
      </w:r>
    </w:p>
    <w:p>
      <w:pPr>
        <w:pStyle w:val="null3"/>
      </w:pPr>
      <w:r>
        <w:rPr>
          <w:rFonts w:ascii="仿宋_GB2312" w:hAnsi="仿宋_GB2312" w:cs="仿宋_GB2312" w:eastAsia="仿宋_GB2312"/>
        </w:rPr>
        <w:t>7、信用信息：提供《供应商信用记录书面声明函》。经查，投标人未被列入“信用中国”网站记录的“失信被执行人”或“重大税收违法失信主体”名单；不处于“中国政府采购网”记录的“政府采购严重违法失信行为记录名单”中禁止参加政府采购活动期间 ； 供应商需在项目电子化交易系统中按要求上传《供应商信用记录书面声明函》并进行电子签章。</w:t>
      </w:r>
    </w:p>
    <w:p>
      <w:pPr>
        <w:pStyle w:val="null3"/>
      </w:pPr>
      <w:r>
        <w:rPr>
          <w:rFonts w:ascii="仿宋_GB2312" w:hAnsi="仿宋_GB2312" w:cs="仿宋_GB2312" w:eastAsia="仿宋_GB2312"/>
        </w:rPr>
        <w:t>8、无控股、管理关系承诺：单位负责人为同一人或者存在直接控股、管理关系的不同供应商，不得参加同一合同项下的政府采购活动。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渭南市临渭区教育体育局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渭南市西四路南段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渭南市临渭区教育体育局经办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18191927687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临渭区政府采购中心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渭南市临渭区财政局乐天大街123号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临渭区政府采购中心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0913-2130883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智慧黑板</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智慧黑板</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智慧黑板</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渭南市临渭区教育体育局</w:t>
      </w:r>
      <w:r>
        <w:rPr>
          <w:rFonts w:ascii="仿宋_GB2312" w:hAnsi="仿宋_GB2312" w:cs="仿宋_GB2312" w:eastAsia="仿宋_GB2312"/>
        </w:rPr>
        <w:t>和</w:t>
      </w:r>
      <w:r>
        <w:rPr>
          <w:rFonts w:ascii="仿宋_GB2312" w:hAnsi="仿宋_GB2312" w:cs="仿宋_GB2312" w:eastAsia="仿宋_GB2312"/>
        </w:rPr>
        <w:t>临渭区政府采购中心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渭南市临渭区教育体育局</w:t>
      </w:r>
      <w:r>
        <w:rPr>
          <w:rFonts w:ascii="仿宋_GB2312" w:hAnsi="仿宋_GB2312" w:cs="仿宋_GB2312" w:eastAsia="仿宋_GB2312"/>
        </w:rPr>
        <w:t>负责解释。除上述招标文件内容，其他内容由</w:t>
      </w:r>
      <w:r>
        <w:rPr>
          <w:rFonts w:ascii="仿宋_GB2312" w:hAnsi="仿宋_GB2312" w:cs="仿宋_GB2312" w:eastAsia="仿宋_GB2312"/>
        </w:rPr>
        <w:t>临渭区政府采购中心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渭南市临渭区教育体育局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临渭区政府采购中心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临渭区政府采购中心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临渭区政府采购中心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临渭区政府采购中心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联系人：临渭区政府采购中心</w:t>
      </w:r>
    </w:p>
    <w:p>
      <w:pPr>
        <w:pStyle w:val="null3"/>
      </w:pPr>
      <w:r>
        <w:rPr>
          <w:rFonts w:ascii="仿宋_GB2312" w:hAnsi="仿宋_GB2312" w:cs="仿宋_GB2312" w:eastAsia="仿宋_GB2312"/>
        </w:rPr>
        <w:t>联系电话：0913-2130883</w:t>
      </w:r>
    </w:p>
    <w:p>
      <w:pPr>
        <w:pStyle w:val="null3"/>
      </w:pPr>
      <w:r>
        <w:rPr>
          <w:rFonts w:ascii="仿宋_GB2312" w:hAnsi="仿宋_GB2312" w:cs="仿宋_GB2312" w:eastAsia="仿宋_GB2312"/>
        </w:rPr>
        <w:t>地址：渭南市临渭区财政局乐天大街123号</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为提高学校教学质量，保障教育教学工作正常开展，采购能满足学生学习及教师教学需求的多功能教学智慧黑板70台。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2,100,000.00</w:t>
      </w:r>
    </w:p>
    <w:p>
      <w:pPr>
        <w:pStyle w:val="null3"/>
      </w:pPr>
      <w:r>
        <w:rPr>
          <w:rFonts w:ascii="仿宋_GB2312" w:hAnsi="仿宋_GB2312" w:cs="仿宋_GB2312" w:eastAsia="仿宋_GB2312"/>
        </w:rPr>
        <w:t>采购包最高限价（元）: 2,100,000.00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临渭区学校设施设备提升改造智慧黑板采购项目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标的名称：临渭区学校设施设备提升改造智慧黑板采购项目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多功能教学智慧黑板</w:t>
            </w:r>
            <w:r>
              <w:rPr>
                <w:rFonts w:ascii="仿宋_GB2312" w:hAnsi="仿宋_GB2312" w:cs="仿宋_GB2312" w:eastAsia="仿宋_GB2312"/>
                <w:sz w:val="24"/>
                <w:b/>
              </w:rPr>
              <w:t>70台。</w:t>
            </w:r>
          </w:p>
          <w:p>
            <w:pPr>
              <w:pStyle w:val="null3"/>
            </w:pPr>
            <w:r>
              <w:rPr>
                <w:rFonts w:ascii="仿宋_GB2312" w:hAnsi="仿宋_GB2312" w:cs="仿宋_GB2312" w:eastAsia="仿宋_GB2312"/>
                <w:sz w:val="24"/>
                <w:b/>
              </w:rPr>
              <w:t>（</w:t>
            </w:r>
            <w:r>
              <w:rPr>
                <w:rFonts w:ascii="仿宋_GB2312" w:hAnsi="仿宋_GB2312" w:cs="仿宋_GB2312" w:eastAsia="仿宋_GB2312"/>
                <w:sz w:val="24"/>
                <w:b/>
              </w:rPr>
              <w:t>1）整体设计</w:t>
            </w:r>
          </w:p>
          <w:p>
            <w:pPr>
              <w:pStyle w:val="null3"/>
            </w:pPr>
            <w:r>
              <w:rPr>
                <w:rFonts w:ascii="仿宋_GB2312" w:hAnsi="仿宋_GB2312" w:cs="仿宋_GB2312" w:eastAsia="仿宋_GB2312"/>
                <w:sz w:val="24"/>
              </w:rPr>
              <w:t>1.整机屏幕采用不小于86英寸超高清LED 液晶屏，显示比例16:9，屏幕分辨率不低于3840*2160。</w:t>
            </w:r>
          </w:p>
          <w:p>
            <w:pPr>
              <w:pStyle w:val="null3"/>
            </w:pPr>
            <w:r>
              <w:rPr>
                <w:rFonts w:ascii="仿宋_GB2312" w:hAnsi="仿宋_GB2312" w:cs="仿宋_GB2312" w:eastAsia="仿宋_GB2312"/>
                <w:sz w:val="24"/>
              </w:rPr>
              <w:t>2.整机尺寸宽度不小于4200mm，高度不小于1200mm。</w:t>
            </w:r>
          </w:p>
          <w:p>
            <w:pPr>
              <w:pStyle w:val="null3"/>
            </w:pPr>
            <w:r>
              <w:rPr>
                <w:rFonts w:ascii="仿宋_GB2312" w:hAnsi="仿宋_GB2312" w:cs="仿宋_GB2312" w:eastAsia="仿宋_GB2312"/>
                <w:sz w:val="24"/>
              </w:rPr>
              <w:t>3.整机内置芯片具备AI算力，用于AI图像、音频处理。</w:t>
            </w:r>
          </w:p>
          <w:p>
            <w:pPr>
              <w:pStyle w:val="null3"/>
            </w:pPr>
            <w:r>
              <w:rPr>
                <w:rFonts w:ascii="仿宋_GB2312" w:hAnsi="仿宋_GB2312" w:cs="仿宋_GB2312" w:eastAsia="仿宋_GB2312"/>
                <w:sz w:val="24"/>
              </w:rPr>
              <w:t>4.屏幕显示灰度分辨等级达到256灰阶以上。</w:t>
            </w:r>
          </w:p>
          <w:p>
            <w:pPr>
              <w:pStyle w:val="null3"/>
            </w:pPr>
            <w:r>
              <w:rPr>
                <w:rFonts w:ascii="仿宋_GB2312" w:hAnsi="仿宋_GB2312" w:cs="仿宋_GB2312" w:eastAsia="仿宋_GB2312"/>
                <w:sz w:val="24"/>
              </w:rPr>
              <w:t>5.整机支持人工智能画质调节模式，在安卓通道下可根据屏幕内容自动调节画质参数。</w:t>
            </w:r>
          </w:p>
          <w:p>
            <w:pPr>
              <w:pStyle w:val="null3"/>
            </w:pPr>
            <w:r>
              <w:rPr>
                <w:rFonts w:ascii="仿宋_GB2312" w:hAnsi="仿宋_GB2312" w:cs="仿宋_GB2312" w:eastAsia="仿宋_GB2312"/>
                <w:sz w:val="24"/>
              </w:rPr>
              <w:t>6.内置音箱总功率不低于60W，采用缝隙发声技术。</w:t>
            </w:r>
          </w:p>
          <w:p>
            <w:pPr>
              <w:pStyle w:val="null3"/>
            </w:pPr>
            <w:r>
              <w:rPr>
                <w:rFonts w:ascii="仿宋_GB2312" w:hAnsi="仿宋_GB2312" w:cs="仿宋_GB2312" w:eastAsia="仿宋_GB2312"/>
                <w:sz w:val="24"/>
              </w:rPr>
              <w:t>7.整机具备不少于2路前置双系统USB3.0接口。</w:t>
            </w:r>
          </w:p>
          <w:p>
            <w:pPr>
              <w:pStyle w:val="null3"/>
            </w:pPr>
            <w:r>
              <w:rPr>
                <w:rFonts w:ascii="仿宋_GB2312" w:hAnsi="仿宋_GB2312" w:cs="仿宋_GB2312" w:eastAsia="仿宋_GB2312"/>
                <w:sz w:val="24"/>
              </w:rPr>
              <w:t>8.整机具备不少于1路前置Typec接口。</w:t>
            </w:r>
          </w:p>
          <w:p>
            <w:pPr>
              <w:pStyle w:val="null3"/>
            </w:pPr>
            <w:r>
              <w:rPr>
                <w:rFonts w:ascii="仿宋_GB2312" w:hAnsi="仿宋_GB2312" w:cs="仿宋_GB2312" w:eastAsia="仿宋_GB2312"/>
                <w:sz w:val="24"/>
              </w:rPr>
              <w:t>9.电源键为三合一按键，可实现开机、关机、待机三种功能，方便老师操作设备。</w:t>
            </w:r>
          </w:p>
          <w:p>
            <w:pPr>
              <w:pStyle w:val="null3"/>
            </w:pPr>
            <w:r>
              <w:rPr>
                <w:rFonts w:ascii="仿宋_GB2312" w:hAnsi="仿宋_GB2312" w:cs="仿宋_GB2312" w:eastAsia="仿宋_GB2312"/>
                <w:sz w:val="24"/>
              </w:rPr>
              <w:t>10.整机具备减滤蓝光功能，可通过前置物理功能按键一键启用减滤蓝光模式，有效减少蓝光对学生危害。</w:t>
            </w:r>
          </w:p>
          <w:p>
            <w:pPr>
              <w:pStyle w:val="null3"/>
            </w:pPr>
            <w:r>
              <w:rPr>
                <w:rFonts w:ascii="仿宋_GB2312" w:hAnsi="仿宋_GB2312" w:cs="仿宋_GB2312" w:eastAsia="仿宋_GB2312"/>
                <w:sz w:val="24"/>
              </w:rPr>
              <w:t>11.设备支持通过前置物理按键一键启动录屏功能，可将屏幕中显示的所有内容与老师人声同时录制。</w:t>
            </w:r>
          </w:p>
          <w:p>
            <w:pPr>
              <w:pStyle w:val="null3"/>
            </w:pPr>
            <w:r>
              <w:rPr>
                <w:rFonts w:ascii="仿宋_GB2312" w:hAnsi="仿宋_GB2312" w:cs="仿宋_GB2312" w:eastAsia="仿宋_GB2312"/>
                <w:sz w:val="24"/>
                <w:b/>
              </w:rPr>
              <w:t>（</w:t>
            </w:r>
            <w:r>
              <w:rPr>
                <w:rFonts w:ascii="仿宋_GB2312" w:hAnsi="仿宋_GB2312" w:cs="仿宋_GB2312" w:eastAsia="仿宋_GB2312"/>
                <w:sz w:val="24"/>
                <w:b/>
              </w:rPr>
              <w:t>2）整机功能</w:t>
            </w:r>
          </w:p>
          <w:p>
            <w:pPr>
              <w:pStyle w:val="null3"/>
            </w:pPr>
            <w:r>
              <w:rPr>
                <w:rFonts w:ascii="仿宋_GB2312" w:hAnsi="仿宋_GB2312" w:cs="仿宋_GB2312" w:eastAsia="仿宋_GB2312"/>
                <w:sz w:val="24"/>
              </w:rPr>
              <w:t>1.整机内置非独立广角高清摄像头，摄像头像素不低于5000W。</w:t>
            </w:r>
          </w:p>
          <w:p>
            <w:pPr>
              <w:pStyle w:val="null3"/>
            </w:pPr>
            <w:r>
              <w:rPr>
                <w:rFonts w:ascii="仿宋_GB2312" w:hAnsi="仿宋_GB2312" w:cs="仿宋_GB2312" w:eastAsia="仿宋_GB2312"/>
                <w:sz w:val="24"/>
              </w:rPr>
              <w:t>2.整机支持通过人脸识别进行解锁设备以及人脸识别进行登录账号。</w:t>
            </w:r>
          </w:p>
          <w:p>
            <w:pPr>
              <w:pStyle w:val="null3"/>
            </w:pPr>
            <w:r>
              <w:rPr>
                <w:rFonts w:ascii="仿宋_GB2312" w:hAnsi="仿宋_GB2312" w:cs="仿宋_GB2312" w:eastAsia="仿宋_GB2312"/>
                <w:sz w:val="24"/>
              </w:rPr>
              <w:t>3.整机支持识别用户声纹并进行统一身份登录操作。</w:t>
            </w:r>
          </w:p>
          <w:p>
            <w:pPr>
              <w:pStyle w:val="null3"/>
            </w:pPr>
            <w:r>
              <w:rPr>
                <w:rFonts w:ascii="仿宋_GB2312" w:hAnsi="仿宋_GB2312" w:cs="仿宋_GB2312" w:eastAsia="仿宋_GB2312"/>
                <w:sz w:val="24"/>
              </w:rPr>
              <w:t>4.支持纸质护眼模式，在任意通道任意画面任意软件所在显示内容下可实时调整画面纹理，如素描纸、宣纸、水彩纸等；同时支持透明度调节。</w:t>
            </w:r>
          </w:p>
          <w:p>
            <w:pPr>
              <w:pStyle w:val="null3"/>
            </w:pPr>
            <w:r>
              <w:rPr>
                <w:rFonts w:ascii="仿宋_GB2312" w:hAnsi="仿宋_GB2312" w:cs="仿宋_GB2312" w:eastAsia="仿宋_GB2312"/>
                <w:sz w:val="24"/>
              </w:rPr>
              <w:t>5.整机支持蓝牙Bluetooth 5.4或以上标准。</w:t>
            </w:r>
          </w:p>
          <w:p>
            <w:pPr>
              <w:pStyle w:val="null3"/>
            </w:pPr>
            <w:r>
              <w:rPr>
                <w:rFonts w:ascii="仿宋_GB2312" w:hAnsi="仿宋_GB2312" w:cs="仿宋_GB2312" w:eastAsia="仿宋_GB2312"/>
                <w:sz w:val="24"/>
              </w:rPr>
              <w:t>6.整机支持提笔书写，可实现无需点击任意功能入口，当检测到触控笔接触屏幕时，自动进入书写模式。</w:t>
            </w:r>
          </w:p>
          <w:p>
            <w:pPr>
              <w:pStyle w:val="null3"/>
            </w:pPr>
            <w:r>
              <w:rPr>
                <w:rFonts w:ascii="仿宋_GB2312" w:hAnsi="仿宋_GB2312" w:cs="仿宋_GB2312" w:eastAsia="仿宋_GB2312"/>
                <w:sz w:val="24"/>
                <w:b/>
              </w:rPr>
              <w:t>（</w:t>
            </w:r>
            <w:r>
              <w:rPr>
                <w:rFonts w:ascii="仿宋_GB2312" w:hAnsi="仿宋_GB2312" w:cs="仿宋_GB2312" w:eastAsia="仿宋_GB2312"/>
                <w:sz w:val="24"/>
                <w:b/>
              </w:rPr>
              <w:t>3）电脑配置</w:t>
            </w:r>
          </w:p>
          <w:p>
            <w:pPr>
              <w:pStyle w:val="null3"/>
            </w:pPr>
            <w:r>
              <w:rPr>
                <w:rFonts w:ascii="仿宋_GB2312" w:hAnsi="仿宋_GB2312" w:cs="仿宋_GB2312" w:eastAsia="仿宋_GB2312"/>
                <w:sz w:val="24"/>
              </w:rPr>
              <w:t>1.搭载国产化 CPU 芯片，主频≥2.6G，四核心及以上;内存≥8GB DDR4；硬盘≥256GB SSD 固态硬盘。预装正版国产化操作系统，终身免费使用。</w:t>
            </w:r>
          </w:p>
          <w:p>
            <w:pPr>
              <w:pStyle w:val="null3"/>
            </w:pPr>
            <w:r>
              <w:rPr>
                <w:rFonts w:ascii="仿宋_GB2312" w:hAnsi="仿宋_GB2312" w:cs="仿宋_GB2312" w:eastAsia="仿宋_GB2312"/>
                <w:sz w:val="24"/>
              </w:rPr>
              <w:t>2.PC 模块可抽拉式插入整机，可实现无单独接线的插拔，无需工具就可快速拆卸电脑模块。</w:t>
            </w:r>
          </w:p>
          <w:p>
            <w:pPr>
              <w:pStyle w:val="null3"/>
            </w:pPr>
            <w:r>
              <w:rPr>
                <w:rFonts w:ascii="仿宋_GB2312" w:hAnsi="仿宋_GB2312" w:cs="仿宋_GB2312" w:eastAsia="仿宋_GB2312"/>
                <w:sz w:val="24"/>
                <w:b/>
              </w:rPr>
              <w:t>（</w:t>
            </w:r>
            <w:r>
              <w:rPr>
                <w:rFonts w:ascii="仿宋_GB2312" w:hAnsi="仿宋_GB2312" w:cs="仿宋_GB2312" w:eastAsia="仿宋_GB2312"/>
                <w:sz w:val="24"/>
                <w:b/>
              </w:rPr>
              <w:t>4）白板软件</w:t>
            </w:r>
          </w:p>
          <w:p>
            <w:pPr>
              <w:pStyle w:val="null3"/>
            </w:pPr>
            <w:r>
              <w:rPr>
                <w:rFonts w:ascii="仿宋_GB2312" w:hAnsi="仿宋_GB2312" w:cs="仿宋_GB2312" w:eastAsia="仿宋_GB2312"/>
                <w:sz w:val="24"/>
              </w:rPr>
              <w:t>1．备授课一体化，具有备课模式及授课模式，且操作界面根据备课和授课使用场景不同而区别设计，符合用户使用需求。</w:t>
            </w:r>
          </w:p>
          <w:p>
            <w:pPr>
              <w:pStyle w:val="null3"/>
            </w:pPr>
            <w:r>
              <w:rPr>
                <w:rFonts w:ascii="仿宋_GB2312" w:hAnsi="仿宋_GB2312" w:cs="仿宋_GB2312" w:eastAsia="仿宋_GB2312"/>
                <w:sz w:val="24"/>
              </w:rPr>
              <w:t>2．支持个人账号注册登录使用，也可通过USB key进行身份快速识别登录，还可以通过微信绑定账号后扫码，形成一体的信息化教学账号体系；根据教师账号信息将教师云空间匹配至对应学校、学科校本资源。</w:t>
            </w:r>
          </w:p>
          <w:p>
            <w:pPr>
              <w:pStyle w:val="null3"/>
            </w:pPr>
            <w:r>
              <w:rPr>
                <w:rFonts w:ascii="仿宋_GB2312" w:hAnsi="仿宋_GB2312" w:cs="仿宋_GB2312" w:eastAsia="仿宋_GB2312"/>
                <w:sz w:val="24"/>
              </w:rPr>
              <w:t>3．提供白板软件手机移动版，方便用户随时随地查看课件。</w:t>
            </w:r>
          </w:p>
          <w:p>
            <w:pPr>
              <w:pStyle w:val="null3"/>
            </w:pPr>
            <w:r>
              <w:rPr>
                <w:rFonts w:ascii="仿宋_GB2312" w:hAnsi="仿宋_GB2312" w:cs="仿宋_GB2312" w:eastAsia="仿宋_GB2312"/>
                <w:sz w:val="24"/>
              </w:rPr>
              <w:t>4．提供在线云课堂功能，无需额外安装部署直播软件，可实现语音直播、课件同步、互动工具等远程教学功能。</w:t>
            </w:r>
          </w:p>
          <w:p>
            <w:pPr>
              <w:pStyle w:val="null3"/>
            </w:pPr>
            <w:r>
              <w:rPr>
                <w:rFonts w:ascii="仿宋_GB2312" w:hAnsi="仿宋_GB2312" w:cs="仿宋_GB2312" w:eastAsia="仿宋_GB2312"/>
                <w:sz w:val="24"/>
              </w:rPr>
              <w:t>5．云课堂可以通过生成二维码海报的方式发送给学生用于远程在线教学。</w:t>
            </w:r>
          </w:p>
          <w:p>
            <w:pPr>
              <w:pStyle w:val="null3"/>
            </w:pPr>
            <w:r>
              <w:rPr>
                <w:rFonts w:ascii="仿宋_GB2312" w:hAnsi="仿宋_GB2312" w:cs="仿宋_GB2312" w:eastAsia="仿宋_GB2312"/>
                <w:sz w:val="24"/>
              </w:rPr>
              <w:t>6．互动教学课件支持分享至学校校本资源库，学段学科根据教师个人信息自动匹配，分享后课件全校教师可见，并可直接下载使用。校本资源库支持按学科、学段进行快速查找，同时支持关键词精准检索。</w:t>
            </w:r>
          </w:p>
          <w:p>
            <w:pPr>
              <w:pStyle w:val="null3"/>
            </w:pPr>
            <w:r>
              <w:rPr>
                <w:rFonts w:ascii="仿宋_GB2312" w:hAnsi="仿宋_GB2312" w:cs="仿宋_GB2312" w:eastAsia="仿宋_GB2312"/>
                <w:sz w:val="24"/>
              </w:rPr>
              <w:t>7．为老师提供可扩展，易于学校管理，安全可靠的云存储空间，根据教师使用时长与教学资料制作频率提供可扩展升级至不小于10T的个人云空间。</w:t>
            </w:r>
          </w:p>
          <w:p>
            <w:pPr>
              <w:pStyle w:val="null3"/>
            </w:pPr>
            <w:r>
              <w:rPr>
                <w:rFonts w:ascii="仿宋_GB2312" w:hAnsi="仿宋_GB2312" w:cs="仿宋_GB2312" w:eastAsia="仿宋_GB2312"/>
                <w:sz w:val="24"/>
              </w:rPr>
              <w:t>8．互动教学课件支持开放式云分享：分享者可将互动课件、课件组以公开或加密的web链接和二维码形式进行分享，分享链接可设置访问有效期。</w:t>
            </w:r>
          </w:p>
          <w:p>
            <w:pPr>
              <w:pStyle w:val="null3"/>
            </w:pPr>
            <w:r>
              <w:rPr>
                <w:rFonts w:ascii="仿宋_GB2312" w:hAnsi="仿宋_GB2312" w:cs="仿宋_GB2312" w:eastAsia="仿宋_GB2312"/>
                <w:sz w:val="24"/>
              </w:rPr>
              <w:t xml:space="preserve">9．备授课平台对接教学数据管理平台，可将教学平台的教案关联至教师课件，支持课件同时关联多份教案，关联后教师可在备课界面调用查看教案，便于教研工作开展。     </w:t>
            </w:r>
          </w:p>
          <w:p>
            <w:pPr>
              <w:pStyle w:val="null3"/>
            </w:pPr>
            <w:r>
              <w:rPr>
                <w:rFonts w:ascii="仿宋_GB2312" w:hAnsi="仿宋_GB2312" w:cs="仿宋_GB2312" w:eastAsia="仿宋_GB2312"/>
                <w:sz w:val="24"/>
              </w:rPr>
              <w:t>10．课堂互动游戏支持云储存，编辑完成的活动可一键存储至教师云空间，便于在不同课件中直接调用，无需反复编辑。</w:t>
            </w:r>
          </w:p>
          <w:p>
            <w:pPr>
              <w:pStyle w:val="null3"/>
            </w:pPr>
            <w:r>
              <w:rPr>
                <w:rFonts w:ascii="仿宋_GB2312" w:hAnsi="仿宋_GB2312" w:cs="仿宋_GB2312" w:eastAsia="仿宋_GB2312"/>
                <w:sz w:val="24"/>
              </w:rPr>
              <w:t>11．提供柱状图、扇形图、折线图等互动图表，每类图表预置不少于5种样式，支持图表文字、背景、透明度设置；柱状图、折线图可一键转置互换坐标轴类别；图表支持三维模式旋转展示，生动形象。</w:t>
            </w:r>
          </w:p>
          <w:p>
            <w:pPr>
              <w:pStyle w:val="null3"/>
            </w:pPr>
            <w:r>
              <w:rPr>
                <w:rFonts w:ascii="仿宋_GB2312" w:hAnsi="仿宋_GB2312" w:cs="仿宋_GB2312" w:eastAsia="仿宋_GB2312"/>
                <w:sz w:val="24"/>
              </w:rPr>
              <w:t>12．提供多种翻页按键布局，翻页按键可分布于屏幕单侧或左右两侧，支持上下翻页、课件页面预览及页面非线性跳转。</w:t>
            </w:r>
          </w:p>
          <w:p>
            <w:pPr>
              <w:pStyle w:val="null3"/>
            </w:pPr>
            <w:r>
              <w:rPr>
                <w:rFonts w:ascii="仿宋_GB2312" w:hAnsi="仿宋_GB2312" w:cs="仿宋_GB2312" w:eastAsia="仿宋_GB2312"/>
                <w:sz w:val="24"/>
              </w:rPr>
              <w:t>13．支持课件内所有的元素对象创建超链接，可链接到对象所在课件的相关页面、网页、文档等。</w:t>
            </w:r>
          </w:p>
          <w:p>
            <w:pPr>
              <w:pStyle w:val="null3"/>
            </w:pPr>
            <w:r>
              <w:rPr>
                <w:rFonts w:ascii="仿宋_GB2312" w:hAnsi="仿宋_GB2312" w:cs="仿宋_GB2312" w:eastAsia="仿宋_GB2312"/>
                <w:sz w:val="24"/>
                <w:b/>
              </w:rPr>
              <w:t>（</w:t>
            </w:r>
            <w:r>
              <w:rPr>
                <w:rFonts w:ascii="仿宋_GB2312" w:hAnsi="仿宋_GB2312" w:cs="仿宋_GB2312" w:eastAsia="仿宋_GB2312"/>
                <w:sz w:val="24"/>
                <w:b/>
              </w:rPr>
              <w:t>5）教学数据分析平台</w:t>
            </w:r>
          </w:p>
          <w:p>
            <w:pPr>
              <w:pStyle w:val="null3"/>
            </w:pPr>
            <w:r>
              <w:rPr>
                <w:rFonts w:ascii="仿宋_GB2312" w:hAnsi="仿宋_GB2312" w:cs="仿宋_GB2312" w:eastAsia="仿宋_GB2312"/>
                <w:sz w:val="24"/>
              </w:rPr>
              <w:t>1. 后台采用B/S架构设计，支持学校管理者在多种不同的操作系统上通过网页浏览器登陆进行操作，可统计全校教师软件活跃数据、学生点评及课件上传等数据。</w:t>
            </w:r>
          </w:p>
          <w:p>
            <w:pPr>
              <w:pStyle w:val="null3"/>
            </w:pPr>
            <w:r>
              <w:rPr>
                <w:rFonts w:ascii="仿宋_GB2312" w:hAnsi="仿宋_GB2312" w:cs="仿宋_GB2312" w:eastAsia="仿宋_GB2312"/>
                <w:sz w:val="24"/>
              </w:rPr>
              <w:t>2. 支持管理员及教师使用网页端、移动端登录，移动端支持查看网页端数据信息，教师榜单，并定期推送数据分析报表，帮助学校检验信息化教学成果。</w:t>
            </w:r>
          </w:p>
          <w:p>
            <w:pPr>
              <w:pStyle w:val="null3"/>
            </w:pPr>
            <w:r>
              <w:rPr>
                <w:rFonts w:ascii="仿宋_GB2312" w:hAnsi="仿宋_GB2312" w:cs="仿宋_GB2312" w:eastAsia="仿宋_GB2312"/>
                <w:sz w:val="24"/>
              </w:rPr>
              <w:t>3. 信息化数据雷达图：将信息化教学数据分五个维度进行评估，分别为资源建设、校本研修、校影响力、学情分析及班级氛围，并与全省均值对比。</w:t>
            </w:r>
          </w:p>
          <w:p>
            <w:pPr>
              <w:pStyle w:val="null3"/>
            </w:pPr>
            <w:r>
              <w:rPr>
                <w:rFonts w:ascii="仿宋_GB2312" w:hAnsi="仿宋_GB2312" w:cs="仿宋_GB2312" w:eastAsia="仿宋_GB2312"/>
                <w:sz w:val="24"/>
              </w:rPr>
              <w:t>4. 教师考勤：具备教师GPS定位打卡考勤功能。学校管理员可设置考勤时间、考勤范围，还可以查看和导出考勤数据报表。教师可在移动端进行GPS考勤，到达学校范围后即激活打卡，支持入校、离校、迟到、早退等多种打卡类型。提供生产厂家确认的、相应的功能证明材料，加盖公章。</w:t>
            </w:r>
          </w:p>
          <w:p>
            <w:pPr>
              <w:pStyle w:val="null3"/>
            </w:pPr>
            <w:r>
              <w:rPr>
                <w:rFonts w:ascii="仿宋_GB2312" w:hAnsi="仿宋_GB2312" w:cs="仿宋_GB2312" w:eastAsia="仿宋_GB2312"/>
                <w:sz w:val="24"/>
              </w:rPr>
              <w:t>5. 教研结构：支持管理者按照学段-学科-年级快速创建教师的教研组织结构，方便教师信息的分类管理。</w:t>
            </w:r>
          </w:p>
          <w:p>
            <w:pPr>
              <w:pStyle w:val="null3"/>
            </w:pPr>
            <w:r>
              <w:rPr>
                <w:rFonts w:ascii="仿宋_GB2312" w:hAnsi="仿宋_GB2312" w:cs="仿宋_GB2312" w:eastAsia="仿宋_GB2312"/>
                <w:sz w:val="24"/>
              </w:rPr>
              <w:t>6. 信息管理：支持修改管理员、教师的账户信息，支持管理员上传校徽，并对本校内管理者账户都可见。</w:t>
            </w:r>
          </w:p>
          <w:p>
            <w:pPr>
              <w:pStyle w:val="null3"/>
            </w:pPr>
            <w:r>
              <w:rPr>
                <w:rFonts w:ascii="仿宋_GB2312" w:hAnsi="仿宋_GB2312" w:cs="仿宋_GB2312" w:eastAsia="仿宋_GB2312"/>
                <w:sz w:val="24"/>
              </w:rPr>
              <w:t>7. 为学校提供教研全流程管理服务，包含教学计划、教学设计、听课评课、班级氛围的流程管理和数据分析，方便学校统筹管理教学、教研活动进展。</w:t>
            </w:r>
          </w:p>
          <w:p>
            <w:pPr>
              <w:pStyle w:val="null3"/>
            </w:pPr>
            <w:r>
              <w:rPr>
                <w:rFonts w:ascii="仿宋_GB2312" w:hAnsi="仿宋_GB2312" w:cs="仿宋_GB2312" w:eastAsia="仿宋_GB2312"/>
                <w:sz w:val="24"/>
              </w:rPr>
              <w:t>8. 教案模板管理：支持管理者自定义学校的教案模板，可以设置必填项和选填项，有效规范教师教案的编写。</w:t>
            </w:r>
          </w:p>
          <w:p>
            <w:pPr>
              <w:pStyle w:val="null3"/>
            </w:pPr>
            <w:r>
              <w:rPr>
                <w:rFonts w:ascii="仿宋_GB2312" w:hAnsi="仿宋_GB2312" w:cs="仿宋_GB2312" w:eastAsia="仿宋_GB2312"/>
                <w:sz w:val="24"/>
              </w:rPr>
              <w:t>9. 班级氛围数据概况：支持查看不同时间段班级氛围数据的概况，数据包含家长入班率，教师对学生的新增点评数，教师参与度。</w:t>
            </w:r>
          </w:p>
          <w:p>
            <w:pPr>
              <w:pStyle w:val="null3"/>
            </w:pPr>
            <w:r>
              <w:rPr>
                <w:rFonts w:ascii="仿宋_GB2312" w:hAnsi="仿宋_GB2312" w:cs="仿宋_GB2312" w:eastAsia="仿宋_GB2312"/>
                <w:sz w:val="24"/>
              </w:rPr>
              <w:t>10. 听评课数据统计导出：支持对不同评课维度得分进行统计，计算平均分并找出评分薄弱项，方便管理者针对性优化教学策略，同时支持查看全校的评课记录和得分详情，并可一键导出Excel表格。</w:t>
            </w:r>
          </w:p>
          <w:p>
            <w:pPr>
              <w:pStyle w:val="null3"/>
            </w:pPr>
            <w:r>
              <w:rPr>
                <w:rFonts w:ascii="仿宋_GB2312" w:hAnsi="仿宋_GB2312" w:cs="仿宋_GB2312" w:eastAsia="仿宋_GB2312"/>
                <w:sz w:val="24"/>
              </w:rPr>
              <w:t>11. 电子教案：教师可以在个人空间直接编写教案，编写教案时可以关联课件，支持教师在个人空间、配套备授课工具查看课件以及教案。</w:t>
            </w:r>
          </w:p>
          <w:p>
            <w:pPr>
              <w:pStyle w:val="null3"/>
            </w:pPr>
            <w:r>
              <w:rPr>
                <w:rFonts w:ascii="仿宋_GB2312" w:hAnsi="仿宋_GB2312" w:cs="仿宋_GB2312" w:eastAsia="仿宋_GB2312"/>
                <w:sz w:val="24"/>
              </w:rPr>
              <w:t>12. 校本资源管理：支持管理员在教研数字化到管理平台后台移动、删除、重命名教师上传至校本库的课件、教案、微课及多媒体等资源。</w:t>
            </w:r>
          </w:p>
          <w:p>
            <w:pPr>
              <w:pStyle w:val="null3"/>
            </w:pPr>
            <w:r>
              <w:rPr>
                <w:rFonts w:ascii="仿宋_GB2312" w:hAnsi="仿宋_GB2312" w:cs="仿宋_GB2312" w:eastAsia="仿宋_GB2312"/>
                <w:sz w:val="24"/>
              </w:rPr>
              <w:t xml:space="preserve">13. 习题使用：教师可以选择习题插入课件使用。支持在云空间中创建习题，包括选择题、填空题、解答题，支持批量导入习题，将习题分享至校本资源库。   </w:t>
            </w:r>
          </w:p>
          <w:p>
            <w:pPr>
              <w:pStyle w:val="null3"/>
            </w:pPr>
            <w:r>
              <w:rPr>
                <w:rFonts w:ascii="仿宋_GB2312" w:hAnsi="仿宋_GB2312" w:cs="仿宋_GB2312" w:eastAsia="仿宋_GB2312"/>
                <w:sz w:val="24"/>
                <w:b/>
              </w:rPr>
              <w:t>（</w:t>
            </w:r>
            <w:r>
              <w:rPr>
                <w:rFonts w:ascii="仿宋_GB2312" w:hAnsi="仿宋_GB2312" w:cs="仿宋_GB2312" w:eastAsia="仿宋_GB2312"/>
                <w:sz w:val="24"/>
                <w:b/>
              </w:rPr>
              <w:t>6）展台</w:t>
            </w:r>
          </w:p>
          <w:p>
            <w:pPr>
              <w:pStyle w:val="null3"/>
              <w:jc w:val="both"/>
            </w:pPr>
            <w:r>
              <w:rPr>
                <w:rFonts w:ascii="仿宋_GB2312" w:hAnsi="仿宋_GB2312" w:cs="仿宋_GB2312" w:eastAsia="仿宋_GB2312"/>
                <w:sz w:val="24"/>
              </w:rPr>
              <w:t>1.设备≥800万像素摄像头；采用 USB供电</w:t>
            </w:r>
            <w:r>
              <w:br/>
            </w:r>
            <w:r>
              <w:rPr>
                <w:rFonts w:ascii="仿宋_GB2312" w:hAnsi="仿宋_GB2312" w:cs="仿宋_GB2312" w:eastAsia="仿宋_GB2312"/>
                <w:sz w:val="24"/>
              </w:rPr>
              <w:t>2.支持不小于A4大小拍摄幅面，1080P动态视频预览达到30帧/秒。</w:t>
            </w:r>
            <w:r>
              <w:br/>
            </w:r>
            <w:r>
              <w:rPr>
                <w:rFonts w:ascii="仿宋_GB2312" w:hAnsi="仿宋_GB2312" w:cs="仿宋_GB2312" w:eastAsia="仿宋_GB2312"/>
                <w:sz w:val="24"/>
              </w:rPr>
              <w:t>3.支持展台成像画面实时批注，预设多种笔划供选择。</w:t>
            </w:r>
            <w:r>
              <w:br/>
            </w:r>
            <w:r>
              <w:rPr>
                <w:rFonts w:ascii="仿宋_GB2312" w:hAnsi="仿宋_GB2312" w:cs="仿宋_GB2312" w:eastAsia="仿宋_GB2312"/>
                <w:sz w:val="24"/>
              </w:rPr>
              <w:t>4.具有故障自动检测功能，可自动出现检测链接。</w:t>
            </w:r>
            <w:r>
              <w:br/>
            </w:r>
            <w:r>
              <w:rPr>
                <w:rFonts w:ascii="仿宋_GB2312" w:hAnsi="仿宋_GB2312" w:cs="仿宋_GB2312" w:eastAsia="仿宋_GB2312"/>
                <w:sz w:val="24"/>
              </w:rPr>
              <w:t>5.展示托板正上方具备LED补光灯，适应环境变化。</w:t>
            </w:r>
            <w:r>
              <w:br/>
            </w:r>
            <w:r>
              <w:rPr>
                <w:rFonts w:ascii="仿宋_GB2312" w:hAnsi="仿宋_GB2312" w:cs="仿宋_GB2312" w:eastAsia="仿宋_GB2312"/>
                <w:sz w:val="24"/>
              </w:rPr>
              <w:t>6.外壳在摄像头部分带保护镜片密封，防止灰尘沾染摄像头。</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合同签订之日起30天内完成。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合同签订后，所有设备运送至现场，安装调试完成，运行正常，验收合格，中标供应商开具正式发票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验收合格之日起满1年内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（1）验收分指定所供货学校初次开箱验收和主管部门最终验收两个阶段，以最终验收为准； （2）货物到货后，甲、乙双方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（3）在货物安装调试运行正常后，甲方（按所供货学校）相关业务部门按 规定提交验收申请，主管部门根据采购单位技术验收结果，组织有关专家进行货物的最终验收。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售后服务标准要求：严格按照国家标准执行三包,严格按照厂家质保期进行质保。培训模式：根据校方要求进行培训。（2）售后服务效率要求：即时响应（包括电话响应）；电话响应无法解决时，2小时内到达现场。修复时间2小时内；如2小时内无法修复，应提供相应解决方案。（3）质保期：验收合格后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供应商须提供合法注册的法人或其他组织的营业执照等证明文件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供应商应授权合法的人员参加投标全过程，其中法定代表人直接参加投标的，须提供法定代表人身份证明书。法定代表人授权代表参加投标的，须提供法定代表人授权书。</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税收及社保缴纳证明</w:t>
            </w:r>
          </w:p>
        </w:tc>
        <w:tc>
          <w:tcPr>
            <w:tcW w:type="dxa" w:w="3322"/>
          </w:tcPr>
          <w:p>
            <w:pPr>
              <w:pStyle w:val="null3"/>
            </w:pPr>
            <w:r>
              <w:rPr>
                <w:rFonts w:ascii="仿宋_GB2312" w:hAnsi="仿宋_GB2312" w:cs="仿宋_GB2312" w:eastAsia="仿宋_GB2312"/>
              </w:rPr>
              <w:t>提供响应文件递交截止时间前一年内任意一个月的税收缴费凭据；依法免税的应提供相关文件证明；提供响应文件递交截止时间前一年内任意一个月的社保缴费凭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提供具有财务审计资质单位出具的2024年度财务报告（成立时间至开标时间不足一年的可提供成立后任意时段的资产负债表）或开标前六个月内其基本账户银行出具的资信证明或政府采购信用担保机构出具的担保函。（以上三种形式的资料提供任意一种即可）</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合同书面声明及承诺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提供《供应商信用记录书面声明函》。经查，投标人未被列入“信用中国”网站记录的“失信被执行人”或“重大税收违法失信主体”名单；不处于“中国政府采购网”记录的“政府采购严重违法失信行为记录名单”中禁止参加政府采购活动期间 ； 供应商需在项目电子化交易系统中按要求上传《供应商信用记录书面声明函》并进行电子签章。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无控股、管理关系承诺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无“无效响应”情况声明.docx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本项目非专门面向中小企业采购</w:t>
            </w:r>
          </w:p>
        </w:tc>
        <w:tc>
          <w:tcPr>
            <w:tcW w:type="dxa" w:w="3322"/>
          </w:tcPr>
          <w:p>
            <w:pPr>
              <w:pStyle w:val="null3"/>
            </w:pPr>
            <w:r>
              <w:rPr>
                <w:rFonts w:ascii="仿宋_GB2312" w:hAnsi="仿宋_GB2312" w:cs="仿宋_GB2312" w:eastAsia="仿宋_GB2312"/>
              </w:rPr>
              <w:t>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投标文件按招标文件要求的计量单位、报价货币及签字盖章（合格）投标文件未按招标文件要求的计量单位、报价货币及签字盖章（不合格）</w:t>
            </w:r>
          </w:p>
        </w:tc>
        <w:tc>
          <w:tcPr>
            <w:tcW w:type="dxa" w:w="1661"/>
          </w:tcPr>
          <w:p>
            <w:pPr>
              <w:pStyle w:val="null3"/>
            </w:pPr>
            <w:r>
              <w:rPr>
                <w:rFonts w:ascii="仿宋_GB2312" w:hAnsi="仿宋_GB2312" w:cs="仿宋_GB2312" w:eastAsia="仿宋_GB2312"/>
              </w:rPr>
              <w:t>投标函 标的清单 标的清单（分项）.docx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对技术和商务要求响应</w:t>
            </w:r>
          </w:p>
        </w:tc>
        <w:tc>
          <w:tcPr>
            <w:tcW w:type="dxa" w:w="3322"/>
          </w:tcPr>
          <w:p>
            <w:pPr>
              <w:pStyle w:val="null3"/>
            </w:pPr>
            <w:r>
              <w:rPr>
                <w:rFonts w:ascii="仿宋_GB2312" w:hAnsi="仿宋_GB2312" w:cs="仿宋_GB2312" w:eastAsia="仿宋_GB2312"/>
              </w:rPr>
              <w:t>完全理解并接受招标文件中技术和商务要求。</w:t>
            </w:r>
          </w:p>
        </w:tc>
        <w:tc>
          <w:tcPr>
            <w:tcW w:type="dxa" w:w="1661"/>
          </w:tcPr>
          <w:p>
            <w:pPr>
              <w:pStyle w:val="null3"/>
            </w:pPr>
            <w:r>
              <w:rPr>
                <w:rFonts w:ascii="仿宋_GB2312" w:hAnsi="仿宋_GB2312" w:cs="仿宋_GB2312" w:eastAsia="仿宋_GB2312"/>
              </w:rPr>
              <w:t>技术指标响应表.docx 产品技术参数表 商务应答表 商务响应表.docx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报价一览表</w:t>
            </w:r>
          </w:p>
        </w:tc>
        <w:tc>
          <w:tcPr>
            <w:tcW w:type="dxa" w:w="3322"/>
          </w:tcPr>
          <w:p>
            <w:pPr>
              <w:pStyle w:val="null3"/>
            </w:pPr>
            <w:r>
              <w:rPr>
                <w:rFonts w:ascii="仿宋_GB2312" w:hAnsi="仿宋_GB2312" w:cs="仿宋_GB2312" w:eastAsia="仿宋_GB2312"/>
              </w:rPr>
              <w:t>（1）报价符合唯一性要求： （2）报价一览表填写符合要求； （3）报价货币符合招标文件要求； （4）未超出采购文件规定的最高限制价。</w:t>
            </w:r>
          </w:p>
        </w:tc>
        <w:tc>
          <w:tcPr>
            <w:tcW w:type="dxa" w:w="1661"/>
          </w:tcPr>
          <w:p>
            <w:pPr>
              <w:pStyle w:val="null3"/>
            </w:pPr>
            <w:r>
              <w:rPr>
                <w:rFonts w:ascii="仿宋_GB2312" w:hAnsi="仿宋_GB2312" w:cs="仿宋_GB2312" w:eastAsia="仿宋_GB2312"/>
              </w:rPr>
              <w:t>开标一览表 产品技术参数表 投标文件封面 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签字、盖章符合文件要求，且无遗漏。</w:t>
            </w:r>
          </w:p>
        </w:tc>
        <w:tc>
          <w:tcPr>
            <w:tcW w:type="dxa" w:w="1661"/>
          </w:tcPr>
          <w:p>
            <w:pPr>
              <w:pStyle w:val="null3"/>
            </w:pPr>
            <w:r>
              <w:rPr>
                <w:rFonts w:ascii="仿宋_GB2312" w:hAnsi="仿宋_GB2312" w:cs="仿宋_GB2312" w:eastAsia="仿宋_GB2312"/>
              </w:rPr>
              <w:t>开标一览表 中小企业声明函 商务应答表 供应商承诺书（一）（二）.docx 标的清单（分项）.docx 商务响应表.docx 供应商概况.docx 合同文本.docx 技术指标响应表.docx 投标方案说明书.docx 无“无效响应”情况声明.docx 产品技术参数表 投标人应提交的相关资格证明材料.docx 投标函 残疾人福利性单位声明函 标的清单 投标文件封面 监狱企业的证明文件 报价明细表.docx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完全理解并接受文件合同条款的要求</w:t>
            </w:r>
          </w:p>
        </w:tc>
        <w:tc>
          <w:tcPr>
            <w:tcW w:type="dxa" w:w="1661"/>
          </w:tcPr>
          <w:p>
            <w:pPr>
              <w:pStyle w:val="null3"/>
            </w:pPr>
            <w:r>
              <w:rPr>
                <w:rFonts w:ascii="仿宋_GB2312" w:hAnsi="仿宋_GB2312" w:cs="仿宋_GB2312" w:eastAsia="仿宋_GB2312"/>
              </w:rPr>
              <w:t>合同文本.docx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完全理解并接受法律法规和招标文件对供应商的各项须知、规约要求和责任义务，没有出现法律法规或招标文件明确规定的其他被视为“无效响应”的情形</w:t>
            </w:r>
          </w:p>
        </w:tc>
        <w:tc>
          <w:tcPr>
            <w:tcW w:type="dxa" w:w="1661"/>
          </w:tcPr>
          <w:p>
            <w:pPr>
              <w:pStyle w:val="null3"/>
            </w:pPr>
            <w:r>
              <w:rPr>
                <w:rFonts w:ascii="仿宋_GB2312" w:hAnsi="仿宋_GB2312" w:cs="仿宋_GB2312" w:eastAsia="仿宋_GB2312"/>
              </w:rPr>
              <w:t>无“无效响应”情况声明.docx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所投产品技术参数清楚、明确并能逐条响应招标文件“技术参数表”中参数要求，得30分。负偏离每项扣0.5分，扣完为止。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技术指标响应表.docx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针对本项目提供完整详细的项目实施方案。内容包含：①项目总实施计划(0-3分)②供货组织安排(0-3分)③安装、调试及验收方案(0-3分)④安装材料、物力调配及保障措施等(0-3分)。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根据项目实际需求，提供质量保证方案。内容包含：①质量保证措施（0-2分）②应急处理方案等（0-2分）。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提供针对本项目培训计划(内容应包含:①培训计划②培训时间③培训内容④培训方式等四项内容进行综合评审。（按响应程度0-4分）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如投标人为所投产品经销商：提供货物的合法来源渠道证明文件（包括但不限于：产品制造商授权、销售协议、代理协议等证明文件）</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环保产品</w:t>
            </w:r>
          </w:p>
        </w:tc>
        <w:tc>
          <w:tcPr>
            <w:tcW w:type="dxa" w:w="2492"/>
          </w:tcPr>
          <w:p>
            <w:pPr>
              <w:pStyle w:val="null3"/>
            </w:pPr>
            <w:r>
              <w:rPr>
                <w:rFonts w:ascii="仿宋_GB2312" w:hAnsi="仿宋_GB2312" w:cs="仿宋_GB2312" w:eastAsia="仿宋_GB2312"/>
              </w:rPr>
              <w:t>投标人所投产品为“环境标志产品政府采购品目清单”内的，应提供该产品由国家确定的认证机构出具的中国环境标志产品认证证书且处于有效期内。</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 2022 年 6月 1 日以来类似项目业绩（以合同签订日期为准），每份合格业绩合同计 1 分，满分5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根据项目实际需求提供售后服务方案。内容包含：①售后服务范围及保障措施（0-3分）②响应时间（0-3分）③响应方式（0-3分）④故障处理及补救措施等（0-3分）。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满足招标文件要求且投标价格最低的投标报价为评标基准价，其价格分为满分。其他投标人的价格分统一按照下列公式计算：投标报价得分=（评标基准价/有效报价）×价格权重（30%）×100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详见附件：标的清单（分项）.docx</w:t>
      </w:r>
    </w:p>
    <w:p>
      <w:pPr>
        <w:pStyle w:val="null3"/>
        <w:ind w:firstLine="960"/>
      </w:pPr>
      <w:r>
        <w:rPr>
          <w:rFonts w:ascii="仿宋_GB2312" w:hAnsi="仿宋_GB2312" w:cs="仿宋_GB2312" w:eastAsia="仿宋_GB2312"/>
        </w:rPr>
        <w:t>详见附件：供应商承诺书（一）（二）.docx</w:t>
      </w:r>
    </w:p>
    <w:p>
      <w:pPr>
        <w:pStyle w:val="null3"/>
        <w:ind w:firstLine="960"/>
      </w:pPr>
      <w:r>
        <w:rPr>
          <w:rFonts w:ascii="仿宋_GB2312" w:hAnsi="仿宋_GB2312" w:cs="仿宋_GB2312" w:eastAsia="仿宋_GB2312"/>
        </w:rPr>
        <w:t>详见附件：供应商概况.docx</w:t>
      </w:r>
    </w:p>
    <w:p>
      <w:pPr>
        <w:pStyle w:val="null3"/>
        <w:ind w:firstLine="960"/>
      </w:pPr>
      <w:r>
        <w:rPr>
          <w:rFonts w:ascii="仿宋_GB2312" w:hAnsi="仿宋_GB2312" w:cs="仿宋_GB2312" w:eastAsia="仿宋_GB2312"/>
        </w:rPr>
        <w:t>详见附件：合同文本.docx</w:t>
      </w:r>
    </w:p>
    <w:p>
      <w:pPr>
        <w:pStyle w:val="null3"/>
        <w:ind w:firstLine="960"/>
      </w:pPr>
      <w:r>
        <w:rPr>
          <w:rFonts w:ascii="仿宋_GB2312" w:hAnsi="仿宋_GB2312" w:cs="仿宋_GB2312" w:eastAsia="仿宋_GB2312"/>
        </w:rPr>
        <w:t>详见附件：技术指标响应表.docx</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详见附件：无“无效响应”情况声明.docx</w:t>
      </w:r>
    </w:p>
    <w:p>
      <w:pPr>
        <w:pStyle w:val="null3"/>
        <w:ind w:firstLine="960"/>
      </w:pPr>
      <w:r>
        <w:rPr>
          <w:rFonts w:ascii="仿宋_GB2312" w:hAnsi="仿宋_GB2312" w:cs="仿宋_GB2312" w:eastAsia="仿宋_GB2312"/>
        </w:rPr>
        <w:t>详见附件：商务响应表.docx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