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版本号：LWQZFCG2025-00520250721001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临渭区学校设施设备提升改造办公电脑采购项目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LWQZFCG2025-005</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临渭区学校设施设备提升改造办公电脑采购项目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临渭区学校设施设备提升改造办公电脑采购项目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补充并更新学校教师办公用台式电脑，满足教师办公并提高教学工作效率。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渭南市西四路南段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18191927687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办公电脑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办公电脑</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办公电脑</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具体详见招标文件约定。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补充并更新学校教师办公用台式电脑，满足教师办公并提高教学工作效率。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临渭区学校设施设备提升改造办公电脑采购项目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标的名称：临渭区学校设施设备提升改造办公电脑采购项目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硬件：（国产化自主品牌）</w:t>
            </w:r>
          </w:p>
          <w:p>
            <w:pPr>
              <w:pStyle w:val="null3"/>
              <w:ind w:firstLine="480"/>
              <w:jc w:val="both"/>
            </w:pPr>
            <w:r>
              <w:rPr>
                <w:rFonts w:ascii="仿宋_GB2312" w:hAnsi="仿宋_GB2312" w:cs="仿宋_GB2312" w:eastAsia="仿宋_GB2312"/>
                <w:sz w:val="24"/>
              </w:rPr>
              <w:t>1、CPU：核心数≥8，最高主频≥2.3GHz，TDP≤15W</w:t>
            </w:r>
          </w:p>
          <w:p>
            <w:pPr>
              <w:pStyle w:val="null3"/>
              <w:ind w:firstLine="480"/>
              <w:jc w:val="both"/>
            </w:pPr>
            <w:r>
              <w:rPr>
                <w:rFonts w:ascii="仿宋_GB2312" w:hAnsi="仿宋_GB2312" w:cs="仿宋_GB2312" w:eastAsia="仿宋_GB2312"/>
                <w:sz w:val="24"/>
              </w:rPr>
              <w:t>2、内存容量：≥8G DDR5或LPDDR5及以上</w:t>
            </w:r>
          </w:p>
          <w:p>
            <w:pPr>
              <w:pStyle w:val="null3"/>
              <w:ind w:firstLine="480"/>
              <w:jc w:val="both"/>
            </w:pPr>
            <w:r>
              <w:rPr>
                <w:rFonts w:ascii="仿宋_GB2312" w:hAnsi="仿宋_GB2312" w:cs="仿宋_GB2312" w:eastAsia="仿宋_GB2312"/>
                <w:sz w:val="24"/>
              </w:rPr>
              <w:t>3、内存频率：≥5600MT/S</w:t>
            </w:r>
          </w:p>
          <w:p>
            <w:pPr>
              <w:pStyle w:val="null3"/>
              <w:ind w:firstLine="480"/>
              <w:jc w:val="both"/>
            </w:pPr>
            <w:r>
              <w:rPr>
                <w:rFonts w:ascii="仿宋_GB2312" w:hAnsi="仿宋_GB2312" w:cs="仿宋_GB2312" w:eastAsia="仿宋_GB2312"/>
                <w:sz w:val="24"/>
              </w:rPr>
              <w:t>4、硬盘：≥256GB 固态硬盘+1T机械硬盘</w:t>
            </w:r>
          </w:p>
          <w:p>
            <w:pPr>
              <w:pStyle w:val="null3"/>
              <w:ind w:firstLine="480"/>
              <w:jc w:val="both"/>
            </w:pPr>
            <w:r>
              <w:rPr>
                <w:rFonts w:ascii="仿宋_GB2312" w:hAnsi="仿宋_GB2312" w:cs="仿宋_GB2312" w:eastAsia="仿宋_GB2312"/>
                <w:sz w:val="24"/>
              </w:rPr>
              <w:t>5、固态存储接口协议：UFS/SATA/PCIe/NVMe 等类型接口协议</w:t>
            </w:r>
          </w:p>
          <w:p>
            <w:pPr>
              <w:pStyle w:val="null3"/>
              <w:ind w:firstLine="480"/>
              <w:jc w:val="both"/>
            </w:pPr>
            <w:r>
              <w:rPr>
                <w:rFonts w:ascii="仿宋_GB2312" w:hAnsi="仿宋_GB2312" w:cs="仿宋_GB2312" w:eastAsia="仿宋_GB2312"/>
                <w:sz w:val="24"/>
              </w:rPr>
              <w:t>6、显卡：集成显卡</w:t>
            </w:r>
          </w:p>
          <w:p>
            <w:pPr>
              <w:pStyle w:val="null3"/>
              <w:ind w:firstLine="480"/>
              <w:jc w:val="both"/>
            </w:pPr>
            <w:r>
              <w:rPr>
                <w:rFonts w:ascii="仿宋_GB2312" w:hAnsi="仿宋_GB2312" w:cs="仿宋_GB2312" w:eastAsia="仿宋_GB2312"/>
                <w:sz w:val="24"/>
              </w:rPr>
              <w:t>7、声卡：集成声卡</w:t>
            </w:r>
          </w:p>
          <w:p>
            <w:pPr>
              <w:pStyle w:val="null3"/>
              <w:ind w:firstLine="480"/>
              <w:jc w:val="both"/>
            </w:pPr>
            <w:r>
              <w:rPr>
                <w:rFonts w:ascii="仿宋_GB2312" w:hAnsi="仿宋_GB2312" w:cs="仿宋_GB2312" w:eastAsia="仿宋_GB2312"/>
                <w:sz w:val="24"/>
              </w:rPr>
              <w:t>8、网卡：主板集成10/100/1000M以太网卡</w:t>
            </w:r>
          </w:p>
          <w:p>
            <w:pPr>
              <w:pStyle w:val="null3"/>
              <w:ind w:firstLine="480"/>
              <w:jc w:val="both"/>
            </w:pPr>
            <w:r>
              <w:rPr>
                <w:rFonts w:ascii="仿宋_GB2312" w:hAnsi="仿宋_GB2312" w:cs="仿宋_GB2312" w:eastAsia="仿宋_GB2312"/>
                <w:sz w:val="24"/>
              </w:rPr>
              <w:t>9、键盘、鼠标：同品牌键盘、抗菌鼠标（提供第三方机构测试报告）</w:t>
            </w:r>
          </w:p>
          <w:p>
            <w:pPr>
              <w:pStyle w:val="null3"/>
              <w:ind w:firstLine="480"/>
              <w:jc w:val="both"/>
            </w:pPr>
            <w:r>
              <w:rPr>
                <w:rFonts w:ascii="仿宋_GB2312" w:hAnsi="仿宋_GB2312" w:cs="仿宋_GB2312" w:eastAsia="仿宋_GB2312"/>
                <w:sz w:val="24"/>
              </w:rPr>
              <w:t>10、USB接口：≥8个主板原生USB接口（含Type-C），其中原生USB 3.0接口≥6个</w:t>
            </w:r>
          </w:p>
          <w:p>
            <w:pPr>
              <w:pStyle w:val="null3"/>
              <w:ind w:firstLine="480"/>
              <w:jc w:val="both"/>
            </w:pPr>
            <w:r>
              <w:rPr>
                <w:rFonts w:ascii="仿宋_GB2312" w:hAnsi="仿宋_GB2312" w:cs="仿宋_GB2312" w:eastAsia="仿宋_GB2312"/>
                <w:sz w:val="24"/>
              </w:rPr>
              <w:t>11、主板接口：≥2 个 SATA 3.0 接口、2个 M.2 接口</w:t>
            </w:r>
          </w:p>
          <w:p>
            <w:pPr>
              <w:pStyle w:val="null3"/>
              <w:ind w:firstLine="480"/>
              <w:jc w:val="both"/>
            </w:pPr>
            <w:r>
              <w:rPr>
                <w:rFonts w:ascii="仿宋_GB2312" w:hAnsi="仿宋_GB2312" w:cs="仿宋_GB2312" w:eastAsia="仿宋_GB2312"/>
                <w:sz w:val="24"/>
              </w:rPr>
              <w:t>12、电源：≥180W电源</w:t>
            </w:r>
          </w:p>
          <w:p>
            <w:pPr>
              <w:pStyle w:val="null3"/>
              <w:ind w:firstLine="480"/>
              <w:jc w:val="both"/>
            </w:pPr>
            <w:r>
              <w:rPr>
                <w:rFonts w:ascii="仿宋_GB2312" w:hAnsi="仿宋_GB2312" w:cs="仿宋_GB2312" w:eastAsia="仿宋_GB2312"/>
                <w:sz w:val="24"/>
              </w:rPr>
              <w:t>13、安全特性：支持限制USB接口使用用途，可以设置USB接口为USB存储只读和USB存储拒绝（可识别鼠标和键盘），投标时提供BIOS设置界面截图</w:t>
            </w:r>
          </w:p>
          <w:p>
            <w:pPr>
              <w:pStyle w:val="null3"/>
              <w:ind w:firstLine="480"/>
              <w:jc w:val="both"/>
            </w:pPr>
            <w:r>
              <w:rPr>
                <w:rFonts w:ascii="仿宋_GB2312" w:hAnsi="仿宋_GB2312" w:cs="仿宋_GB2312" w:eastAsia="仿宋_GB2312"/>
                <w:sz w:val="24"/>
              </w:rPr>
              <w:t>14、MTBF：≥30W小时</w:t>
            </w:r>
          </w:p>
          <w:p>
            <w:pPr>
              <w:pStyle w:val="null3"/>
              <w:ind w:firstLine="480"/>
              <w:jc w:val="both"/>
            </w:pPr>
            <w:r>
              <w:rPr>
                <w:rFonts w:ascii="仿宋_GB2312" w:hAnsi="仿宋_GB2312" w:cs="仿宋_GB2312" w:eastAsia="仿宋_GB2312"/>
                <w:sz w:val="24"/>
              </w:rPr>
              <w:t>15、机箱：≤10L</w:t>
            </w:r>
          </w:p>
          <w:p>
            <w:pPr>
              <w:pStyle w:val="null3"/>
              <w:ind w:firstLine="480"/>
              <w:jc w:val="both"/>
            </w:pPr>
            <w:r>
              <w:rPr>
                <w:rFonts w:ascii="仿宋_GB2312" w:hAnsi="仿宋_GB2312" w:cs="仿宋_GB2312" w:eastAsia="仿宋_GB2312"/>
                <w:sz w:val="24"/>
              </w:rPr>
              <w:t>16、防尘：机箱支持防尘设计，通过IP5x认证</w:t>
            </w:r>
          </w:p>
          <w:p>
            <w:pPr>
              <w:pStyle w:val="null3"/>
              <w:ind w:firstLine="480"/>
              <w:jc w:val="both"/>
            </w:pPr>
            <w:r>
              <w:rPr>
                <w:rFonts w:ascii="仿宋_GB2312" w:hAnsi="仿宋_GB2312" w:cs="仿宋_GB2312" w:eastAsia="仿宋_GB2312"/>
                <w:sz w:val="24"/>
              </w:rPr>
              <w:t>17、显示器：≥23.8</w:t>
            </w:r>
          </w:p>
          <w:p>
            <w:pPr>
              <w:pStyle w:val="null3"/>
              <w:ind w:firstLine="480"/>
              <w:jc w:val="both"/>
            </w:pPr>
            <w:r>
              <w:rPr>
                <w:rFonts w:ascii="仿宋_GB2312" w:hAnsi="仿宋_GB2312" w:cs="仿宋_GB2312" w:eastAsia="仿宋_GB2312"/>
                <w:sz w:val="24"/>
              </w:rPr>
              <w:t>18、投标时须提供厂家授权及不少于三年售后服务承诺。</w:t>
            </w:r>
          </w:p>
          <w:p>
            <w:pPr>
              <w:pStyle w:val="null3"/>
              <w:ind w:firstLine="482"/>
              <w:jc w:val="both"/>
            </w:pPr>
            <w:r>
              <w:rPr>
                <w:rFonts w:ascii="仿宋_GB2312" w:hAnsi="仿宋_GB2312" w:cs="仿宋_GB2312" w:eastAsia="仿宋_GB2312"/>
                <w:sz w:val="24"/>
                <w:b/>
              </w:rPr>
              <w:t>软件及操作系统（国产化办公软件）</w:t>
            </w:r>
          </w:p>
          <w:p>
            <w:pPr>
              <w:pStyle w:val="null3"/>
              <w:ind w:firstLine="480"/>
              <w:jc w:val="both"/>
            </w:pPr>
            <w:r>
              <w:rPr>
                <w:rFonts w:ascii="仿宋_GB2312" w:hAnsi="仿宋_GB2312" w:cs="仿宋_GB2312" w:eastAsia="仿宋_GB2312"/>
                <w:sz w:val="24"/>
              </w:rPr>
              <w:t>1、云桌面系统可兼容现阶段主流国产化处理器，包括但不限于海光、兆芯、飞腾、麒麟、盘古等。</w:t>
            </w:r>
          </w:p>
          <w:p>
            <w:pPr>
              <w:pStyle w:val="null3"/>
              <w:ind w:firstLine="480"/>
              <w:jc w:val="both"/>
            </w:pPr>
            <w:r>
              <w:rPr>
                <w:rFonts w:ascii="仿宋_GB2312" w:hAnsi="仿宋_GB2312" w:cs="仿宋_GB2312" w:eastAsia="仿宋_GB2312"/>
                <w:sz w:val="24"/>
              </w:rPr>
              <w:t>2、可实现包含但不限于主流国产化操作系统的切换，支持用户自行选择操作系统使用或默认进入某一操作系统。</w:t>
            </w:r>
          </w:p>
          <w:p>
            <w:pPr>
              <w:pStyle w:val="null3"/>
              <w:ind w:firstLine="480"/>
              <w:jc w:val="both"/>
            </w:pPr>
            <w:r>
              <w:rPr>
                <w:rFonts w:ascii="仿宋_GB2312" w:hAnsi="仿宋_GB2312" w:cs="仿宋_GB2312" w:eastAsia="仿宋_GB2312"/>
                <w:sz w:val="24"/>
              </w:rPr>
              <w:t>3、可在国产化CPU的PC中运行office、Auto CAD、MySQL、Oracle、Python、3Dmax等软件，不得使用三方软件介入实现。</w:t>
            </w:r>
          </w:p>
          <w:p>
            <w:pPr>
              <w:pStyle w:val="null3"/>
              <w:ind w:firstLine="480"/>
              <w:jc w:val="both"/>
            </w:pPr>
            <w:r>
              <w:rPr>
                <w:rFonts w:ascii="仿宋_GB2312" w:hAnsi="仿宋_GB2312" w:cs="仿宋_GB2312" w:eastAsia="仿宋_GB2312"/>
                <w:sz w:val="24"/>
              </w:rPr>
              <w:t>4、可支持操作系统的自动还原，每次开机系统都会重新恢复至模板状态，保障系统流畅性。</w:t>
            </w:r>
          </w:p>
          <w:p>
            <w:pPr>
              <w:pStyle w:val="null3"/>
              <w:ind w:firstLine="480"/>
              <w:jc w:val="both"/>
            </w:pPr>
            <w:r>
              <w:rPr>
                <w:rFonts w:ascii="仿宋_GB2312" w:hAnsi="仿宋_GB2312" w:cs="仿宋_GB2312" w:eastAsia="仿宋_GB2312"/>
                <w:sz w:val="24"/>
              </w:rPr>
              <w:t>5、支持系统隐藏功能，可将部分操作系统进行隐藏。</w:t>
            </w:r>
          </w:p>
          <w:p>
            <w:pPr>
              <w:pStyle w:val="null3"/>
              <w:ind w:firstLine="480"/>
              <w:jc w:val="both"/>
            </w:pPr>
            <w:r>
              <w:rPr>
                <w:rFonts w:ascii="仿宋_GB2312" w:hAnsi="仿宋_GB2312" w:cs="仿宋_GB2312" w:eastAsia="仿宋_GB2312"/>
                <w:sz w:val="24"/>
              </w:rPr>
              <w:t>6、为提供更加良好的桌面使用环境，需提供广告弹窗拦截功能，开启后系统自动拦截用户设备桌面弹窗广告，净化桌面环境。</w:t>
            </w:r>
          </w:p>
          <w:p>
            <w:pPr>
              <w:pStyle w:val="null3"/>
              <w:ind w:firstLine="480"/>
              <w:jc w:val="both"/>
            </w:pPr>
            <w:r>
              <w:rPr>
                <w:rFonts w:ascii="仿宋_GB2312" w:hAnsi="仿宋_GB2312" w:cs="仿宋_GB2312" w:eastAsia="仿宋_GB2312"/>
                <w:sz w:val="24"/>
              </w:rPr>
              <w:t>7、提供环境监测功能，针对用户正在使用的桌面系统环境进行巡检，监测内容以列表形式呈现内容包含但不限于电脑名称、系统版本、IP、内存、硬盘等状态。如出现网络连接中断、USB未连接、未知盘符，均会进行告警。</w:t>
            </w:r>
          </w:p>
          <w:p>
            <w:pPr>
              <w:pStyle w:val="null3"/>
              <w:ind w:firstLine="480"/>
              <w:jc w:val="both"/>
            </w:pPr>
            <w:r>
              <w:rPr>
                <w:rFonts w:ascii="仿宋_GB2312" w:hAnsi="仿宋_GB2312" w:cs="仿宋_GB2312" w:eastAsia="仿宋_GB2312"/>
                <w:sz w:val="24"/>
              </w:rPr>
              <w:t>8、云桌面软件需支持流量监控功能，可检测设备机目前进程的流量接收与发送的情况。</w:t>
            </w:r>
          </w:p>
          <w:p>
            <w:pPr>
              <w:pStyle w:val="null3"/>
              <w:ind w:firstLine="480"/>
              <w:jc w:val="both"/>
            </w:pPr>
            <w:r>
              <w:rPr>
                <w:rFonts w:ascii="仿宋_GB2312" w:hAnsi="仿宋_GB2312" w:cs="仿宋_GB2312" w:eastAsia="仿宋_GB2312"/>
                <w:sz w:val="24"/>
              </w:rPr>
              <w:t>9、为保障用户系统纯净使用，支持垃圾清理功能，对于垃圾文件扫描后进行自动清理。</w:t>
            </w:r>
          </w:p>
          <w:p>
            <w:pPr>
              <w:pStyle w:val="null3"/>
              <w:ind w:firstLine="480"/>
              <w:jc w:val="both"/>
            </w:pPr>
            <w:r>
              <w:rPr>
                <w:rFonts w:ascii="仿宋_GB2312" w:hAnsi="仿宋_GB2312" w:cs="仿宋_GB2312" w:eastAsia="仿宋_GB2312"/>
                <w:sz w:val="24"/>
              </w:rPr>
              <w:t>10、支持网络检测功能，可针对于设备现阶段网络情况进行检测，协助管理员进行网络排障。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合同签订后，所有设备送至现场，安装调试完成，运行正常，验收合格，中标单位开具正式发票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设备方可进行安装、调试，达到正常使用条件时由采购人负责组织邀请有关专家、质检机构共同进行验收；验收合格须交接项目实施的全部资料，并填写政府采购项目验收报告单。验收须以合同、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1、成交供应商使用的原材料应提供清单，并在到货24小时内通知采购人代表检验核实（具体方式在合同中明确）。 2、成交供应商应当保证所供设备的来源渠道正常，产品是全新的、未使用过的，且完全符合合同规定的质量、规格、技术指标等要求，并在质保期内、外应对由于产品设计、工艺或材料的缺陷而产生的质量问题负责。 3、在质保期内，如果发现设备的质量、规格、技术指标等存在与合同有任何一项不符，采购人应在最短时间内，以书面形式向成交供应商人提出索赔。同时告知招标代理机构。 4、成交供应商应当明确售后服务公约，承诺免费维修服务条件。 5、质保期：验收合格后3年。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有权终止合同，依法向成交供应商进行经济索赔，并报请政府采购监督管理机关依法进行相应的行政处罚。采购人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标的清单（分项）.docx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标的清单（分项）.docx 商务响应表.docx 供应商概况.docx 技术指标响应表.docx 合同文本.docx 投标方案说明书.docx 无“无效响应”情况声明.docx 产品技术参数表 投标人应提交的相关资格证明材料.docx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所投产品技术参数清楚、明确并能逐条响应招标文件“技术参数表”中参数要求，得28分。负偏离每项扣1分，扣完为止。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评审内容：针对本项目提供完整详细的项目实施方案。内容包含：①项目总实施计划(0-3分)②供货组织安排(0-3分)③安装、调试及验收方案(0-3分)④安装材料、物力调配及保障措施等(0-3分)。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评审内容：根据项目实际需求，提供质量保证方案。内容包含：①质量保证措施（0-3分）②应急处理方案等（0-3分）。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提供针对本项目培训计划(内容应包含:①培训计划②培训时间③培训内容④培训方式等四项内容进行综合评审。（按响应程度0-4分）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如投标人为所投产品经销商：提供货物的合法来源渠道证明文件（包括但不限于：产品制造商授权、销售协议、代理协议等证明文件）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6月 1 日以来类似项目业绩（以合同签订日期为准），每份合格业绩合同计 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评审内容：根据项目实际需求提供售后服务方案。内容包含：①售后服务范围及保障措施（0-3分）②响应时间（0-3分）③响应方式（0-3分）④故障处理及补救措施等（0-3分）。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详见附件：标的清单（分项）.docx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详见附件：无“无效响应”情况声明.docx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