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E56EC">
      <w:pPr>
        <w:jc w:val="center"/>
        <w:outlineLvl w:val="0"/>
        <w:rPr>
          <w:rFonts w:hint="eastAsia" w:ascii="宋体" w:hAnsi="宋体" w:eastAsia="宋体" w:cs="宋体"/>
          <w:color w:val="auto"/>
          <w:sz w:val="21"/>
          <w:szCs w:val="21"/>
          <w:lang w:val="en-US" w:eastAsia="zh-Hans"/>
        </w:rPr>
      </w:pPr>
      <w:r>
        <w:rPr>
          <w:rFonts w:hint="eastAsia" w:ascii="宋体" w:hAnsi="宋体" w:eastAsia="宋体" w:cs="宋体"/>
          <w:b/>
          <w:color w:val="auto"/>
          <w:sz w:val="40"/>
          <w:szCs w:val="21"/>
          <w:lang w:val="en-US" w:eastAsia="zh-Hans"/>
        </w:rPr>
        <w:t>拟签订合同文本</w:t>
      </w:r>
    </w:p>
    <w:p w14:paraId="782849FB">
      <w:pPr>
        <w:spacing w:line="360" w:lineRule="auto"/>
        <w:jc w:val="center"/>
        <w:outlineLvl w:val="9"/>
        <w:rPr>
          <w:rFonts w:hint="eastAsia" w:ascii="宋体" w:hAnsi="宋体" w:eastAsia="宋体" w:cs="宋体"/>
          <w:b/>
          <w:color w:val="auto"/>
          <w:kern w:val="0"/>
          <w:sz w:val="52"/>
          <w:szCs w:val="52"/>
          <w:highlight w:val="none"/>
          <w:lang w:val="en-US" w:eastAsia="zh-CN"/>
        </w:rPr>
      </w:pPr>
    </w:p>
    <w:p w14:paraId="4707A8D1">
      <w:pPr>
        <w:spacing w:line="360" w:lineRule="auto"/>
        <w:jc w:val="center"/>
        <w:outlineLvl w:val="9"/>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48"/>
          <w:szCs w:val="48"/>
          <w:highlight w:val="none"/>
          <w:lang w:val="en-US" w:eastAsia="zh-CN"/>
        </w:rPr>
        <w:t>渭南市临渭区2025-2026学年度中小学（幼儿园）大宗食材采购项目</w:t>
      </w:r>
    </w:p>
    <w:p w14:paraId="4F5644F3">
      <w:pPr>
        <w:widowControl w:val="0"/>
        <w:spacing w:after="120"/>
        <w:jc w:val="both"/>
        <w:outlineLvl w:val="9"/>
        <w:rPr>
          <w:rFonts w:hint="eastAsia" w:ascii="宋体" w:hAnsi="宋体" w:eastAsia="宋体" w:cs="宋体"/>
          <w:color w:val="auto"/>
          <w:kern w:val="0"/>
          <w:sz w:val="22"/>
          <w:szCs w:val="20"/>
          <w:highlight w:val="none"/>
          <w:lang w:val="en-US" w:eastAsia="zh-CN" w:bidi="ar-SA"/>
        </w:rPr>
      </w:pPr>
    </w:p>
    <w:p w14:paraId="4453CC3E">
      <w:pPr>
        <w:outlineLvl w:val="9"/>
        <w:rPr>
          <w:rFonts w:hint="eastAsia" w:ascii="宋体" w:hAnsi="宋体" w:eastAsia="宋体" w:cs="宋体"/>
          <w:color w:val="auto"/>
          <w:sz w:val="20"/>
          <w:szCs w:val="22"/>
          <w:highlight w:val="none"/>
        </w:rPr>
      </w:pPr>
    </w:p>
    <w:p w14:paraId="2C44026E">
      <w:pPr>
        <w:widowControl w:val="0"/>
        <w:tabs>
          <w:tab w:val="center" w:pos="4153"/>
          <w:tab w:val="right" w:pos="8306"/>
        </w:tabs>
        <w:snapToGrid w:val="0"/>
        <w:jc w:val="left"/>
        <w:outlineLvl w:val="9"/>
        <w:rPr>
          <w:rFonts w:hint="eastAsia" w:ascii="宋体" w:hAnsi="宋体" w:eastAsia="宋体" w:cs="宋体"/>
          <w:color w:val="auto"/>
          <w:kern w:val="0"/>
          <w:sz w:val="16"/>
          <w:szCs w:val="16"/>
          <w:highlight w:val="none"/>
          <w:lang w:val="en-US" w:eastAsia="zh-CN" w:bidi="ar-SA"/>
        </w:rPr>
      </w:pPr>
    </w:p>
    <w:p w14:paraId="61116B92">
      <w:pPr>
        <w:widowControl w:val="0"/>
        <w:tabs>
          <w:tab w:val="center" w:pos="4153"/>
          <w:tab w:val="right" w:pos="8306"/>
        </w:tabs>
        <w:snapToGrid w:val="0"/>
        <w:jc w:val="left"/>
        <w:outlineLvl w:val="9"/>
        <w:rPr>
          <w:rFonts w:hint="eastAsia" w:ascii="宋体" w:hAnsi="宋体" w:eastAsia="宋体" w:cs="宋体"/>
          <w:color w:val="auto"/>
          <w:kern w:val="0"/>
          <w:sz w:val="16"/>
          <w:szCs w:val="16"/>
          <w:highlight w:val="none"/>
          <w:lang w:val="en-US" w:eastAsia="zh-CN" w:bidi="ar-SA"/>
        </w:rPr>
      </w:pPr>
    </w:p>
    <w:p w14:paraId="171F8C22">
      <w:pPr>
        <w:widowControl w:val="0"/>
        <w:tabs>
          <w:tab w:val="center" w:pos="4153"/>
          <w:tab w:val="right" w:pos="8306"/>
        </w:tabs>
        <w:snapToGrid w:val="0"/>
        <w:jc w:val="left"/>
        <w:outlineLvl w:val="9"/>
        <w:rPr>
          <w:rFonts w:hint="eastAsia" w:ascii="宋体" w:hAnsi="宋体" w:eastAsia="宋体" w:cs="宋体"/>
          <w:color w:val="auto"/>
          <w:kern w:val="0"/>
          <w:sz w:val="16"/>
          <w:szCs w:val="16"/>
          <w:highlight w:val="none"/>
          <w:lang w:val="en-US" w:eastAsia="zh-CN" w:bidi="ar-SA"/>
        </w:rPr>
      </w:pPr>
    </w:p>
    <w:p w14:paraId="029C1E04">
      <w:pPr>
        <w:widowControl w:val="0"/>
        <w:tabs>
          <w:tab w:val="center" w:pos="4153"/>
          <w:tab w:val="right" w:pos="8306"/>
        </w:tabs>
        <w:snapToGrid w:val="0"/>
        <w:jc w:val="left"/>
        <w:outlineLvl w:val="9"/>
        <w:rPr>
          <w:rFonts w:hint="eastAsia" w:ascii="宋体" w:hAnsi="宋体" w:eastAsia="宋体" w:cs="宋体"/>
          <w:color w:val="auto"/>
          <w:kern w:val="0"/>
          <w:sz w:val="16"/>
          <w:szCs w:val="16"/>
          <w:highlight w:val="none"/>
          <w:lang w:val="en-US" w:eastAsia="zh-CN" w:bidi="ar-SA"/>
        </w:rPr>
      </w:pPr>
    </w:p>
    <w:p w14:paraId="768D9F61">
      <w:pPr>
        <w:spacing w:line="600" w:lineRule="auto"/>
        <w:jc w:val="center"/>
        <w:outlineLvl w:val="9"/>
        <w:rPr>
          <w:rFonts w:hint="eastAsia" w:ascii="宋体" w:hAnsi="宋体" w:eastAsia="宋体" w:cs="宋体"/>
          <w:b/>
          <w:color w:val="auto"/>
          <w:kern w:val="0"/>
          <w:sz w:val="60"/>
          <w:szCs w:val="60"/>
          <w:highlight w:val="none"/>
        </w:rPr>
      </w:pPr>
      <w:r>
        <w:rPr>
          <w:rFonts w:hint="eastAsia" w:ascii="宋体" w:hAnsi="宋体" w:eastAsia="宋体" w:cs="宋体"/>
          <w:b/>
          <w:color w:val="auto"/>
          <w:kern w:val="0"/>
          <w:sz w:val="60"/>
          <w:szCs w:val="60"/>
          <w:highlight w:val="none"/>
        </w:rPr>
        <w:t>合 同 书</w:t>
      </w:r>
    </w:p>
    <w:p w14:paraId="4B33C087">
      <w:pPr>
        <w:outlineLvl w:val="9"/>
        <w:rPr>
          <w:rFonts w:hint="eastAsia" w:ascii="宋体" w:hAnsi="宋体" w:eastAsia="宋体" w:cs="宋体"/>
          <w:color w:val="auto"/>
          <w:sz w:val="20"/>
          <w:szCs w:val="22"/>
          <w:highlight w:val="none"/>
        </w:rPr>
      </w:pPr>
    </w:p>
    <w:p w14:paraId="2B821915">
      <w:pPr>
        <w:spacing w:line="560" w:lineRule="exact"/>
        <w:jc w:val="center"/>
        <w:outlineLvl w:val="9"/>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合同编号：XXXX</w:t>
      </w:r>
    </w:p>
    <w:p w14:paraId="32C62B4D">
      <w:pPr>
        <w:spacing w:line="560" w:lineRule="exact"/>
        <w:outlineLvl w:val="9"/>
        <w:rPr>
          <w:rFonts w:hint="eastAsia" w:ascii="宋体" w:hAnsi="宋体" w:eastAsia="宋体" w:cs="宋体"/>
          <w:b/>
          <w:color w:val="auto"/>
          <w:sz w:val="20"/>
          <w:szCs w:val="22"/>
          <w:highlight w:val="none"/>
        </w:rPr>
      </w:pPr>
    </w:p>
    <w:p w14:paraId="05C6A939">
      <w:pPr>
        <w:widowControl w:val="0"/>
        <w:ind w:left="1470" w:leftChars="700" w:right="1470" w:rightChars="700"/>
        <w:jc w:val="both"/>
        <w:outlineLvl w:val="9"/>
        <w:rPr>
          <w:rFonts w:hint="eastAsia" w:ascii="宋体" w:hAnsi="宋体" w:eastAsia="宋体" w:cs="宋体"/>
          <w:color w:val="auto"/>
          <w:kern w:val="2"/>
          <w:sz w:val="20"/>
          <w:szCs w:val="22"/>
          <w:highlight w:val="none"/>
          <w:lang w:val="en-US" w:eastAsia="zh-CN" w:bidi="ar-SA"/>
        </w:rPr>
      </w:pPr>
    </w:p>
    <w:p w14:paraId="7F5CD74B">
      <w:pPr>
        <w:outlineLvl w:val="9"/>
        <w:rPr>
          <w:rFonts w:hint="eastAsia" w:ascii="宋体" w:hAnsi="宋体" w:eastAsia="宋体" w:cs="宋体"/>
          <w:color w:val="auto"/>
          <w:sz w:val="20"/>
          <w:szCs w:val="22"/>
          <w:highlight w:val="none"/>
        </w:rPr>
      </w:pPr>
    </w:p>
    <w:p w14:paraId="097CB0DF">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01D93762">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65165735">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2C416FA3">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4FFB3810">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2C5D566C">
      <w:pPr>
        <w:widowControl w:val="0"/>
        <w:jc w:val="both"/>
        <w:outlineLvl w:val="9"/>
        <w:rPr>
          <w:rFonts w:hint="eastAsia" w:ascii="宋体" w:hAnsi="宋体" w:eastAsia="宋体" w:cs="宋体"/>
          <w:color w:val="auto"/>
          <w:kern w:val="2"/>
          <w:sz w:val="20"/>
          <w:szCs w:val="22"/>
          <w:highlight w:val="none"/>
          <w:lang w:val="en-US" w:eastAsia="zh-CN" w:bidi="ar-SA"/>
        </w:rPr>
      </w:pPr>
    </w:p>
    <w:p w14:paraId="0F489BAF">
      <w:pPr>
        <w:spacing w:line="560" w:lineRule="exact"/>
        <w:ind w:left="1469" w:hanging="1308" w:hangingChars="400"/>
        <w:outlineLvl w:val="9"/>
        <w:rPr>
          <w:rFonts w:hint="eastAsia" w:ascii="宋体" w:hAnsi="宋体" w:eastAsia="宋体" w:cs="宋体"/>
          <w:b/>
          <w:color w:val="auto"/>
          <w:spacing w:val="23"/>
          <w:sz w:val="28"/>
          <w:szCs w:val="28"/>
          <w:highlight w:val="none"/>
        </w:rPr>
      </w:pPr>
      <w:r>
        <w:rPr>
          <w:rFonts w:hint="eastAsia" w:ascii="宋体" w:hAnsi="宋体" w:eastAsia="宋体" w:cs="宋体"/>
          <w:b/>
          <w:color w:val="auto"/>
          <w:spacing w:val="23"/>
          <w:sz w:val="28"/>
          <w:szCs w:val="28"/>
          <w:highlight w:val="none"/>
        </w:rPr>
        <w:t xml:space="preserve">          甲方</w:t>
      </w:r>
      <w:r>
        <w:rPr>
          <w:rFonts w:hint="eastAsia" w:ascii="宋体" w:hAnsi="宋体" w:eastAsia="宋体" w:cs="宋体"/>
          <w:b/>
          <w:color w:val="auto"/>
          <w:spacing w:val="23"/>
          <w:sz w:val="28"/>
          <w:szCs w:val="28"/>
          <w:highlight w:val="none"/>
          <w:lang w:eastAsia="zh-CN"/>
        </w:rPr>
        <w:t>（</w:t>
      </w:r>
      <w:r>
        <w:rPr>
          <w:rFonts w:hint="eastAsia" w:ascii="宋体" w:hAnsi="宋体" w:eastAsia="宋体" w:cs="宋体"/>
          <w:color w:val="auto"/>
          <w:sz w:val="20"/>
          <w:szCs w:val="22"/>
          <w:highlight w:val="none"/>
        </w:rPr>
        <w:fldChar w:fldCharType="begin"/>
      </w:r>
      <w:r>
        <w:rPr>
          <w:rFonts w:hint="eastAsia" w:ascii="宋体" w:hAnsi="宋体" w:eastAsia="宋体" w:cs="宋体"/>
          <w:color w:val="auto"/>
          <w:sz w:val="20"/>
          <w:szCs w:val="22"/>
          <w:highlight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color w:val="auto"/>
          <w:sz w:val="20"/>
          <w:szCs w:val="22"/>
          <w:highlight w:val="none"/>
        </w:rPr>
        <w:fldChar w:fldCharType="separate"/>
      </w:r>
      <w:r>
        <w:rPr>
          <w:rFonts w:hint="eastAsia" w:ascii="宋体" w:hAnsi="宋体" w:eastAsia="宋体" w:cs="宋体"/>
          <w:b/>
          <w:color w:val="auto"/>
          <w:spacing w:val="23"/>
          <w:sz w:val="28"/>
          <w:szCs w:val="28"/>
          <w:highlight w:val="none"/>
          <w:u w:val="none"/>
        </w:rPr>
        <w:t>采购人</w:t>
      </w:r>
      <w:r>
        <w:rPr>
          <w:rFonts w:hint="eastAsia" w:ascii="宋体" w:hAnsi="宋体" w:eastAsia="宋体" w:cs="宋体"/>
          <w:b/>
          <w:color w:val="auto"/>
          <w:spacing w:val="23"/>
          <w:sz w:val="28"/>
          <w:szCs w:val="28"/>
          <w:highlight w:val="none"/>
          <w:u w:val="none"/>
        </w:rPr>
        <w:fldChar w:fldCharType="end"/>
      </w:r>
      <w:r>
        <w:rPr>
          <w:rFonts w:hint="eastAsia" w:ascii="宋体" w:hAnsi="宋体" w:eastAsia="宋体" w:cs="宋体"/>
          <w:b/>
          <w:color w:val="auto"/>
          <w:spacing w:val="23"/>
          <w:sz w:val="28"/>
          <w:szCs w:val="28"/>
          <w:highlight w:val="none"/>
          <w:lang w:eastAsia="zh-CN"/>
        </w:rPr>
        <w:t>）</w:t>
      </w:r>
      <w:r>
        <w:rPr>
          <w:rFonts w:hint="eastAsia" w:ascii="宋体" w:hAnsi="宋体" w:eastAsia="宋体" w:cs="宋体"/>
          <w:b/>
          <w:color w:val="auto"/>
          <w:spacing w:val="23"/>
          <w:sz w:val="28"/>
          <w:szCs w:val="28"/>
          <w:highlight w:val="none"/>
        </w:rPr>
        <w:t>：</w:t>
      </w:r>
      <w:r>
        <w:rPr>
          <w:rFonts w:hint="eastAsia" w:ascii="宋体" w:hAnsi="宋体" w:eastAsia="宋体" w:cs="宋体"/>
          <w:b/>
          <w:color w:val="auto"/>
          <w:spacing w:val="23"/>
          <w:sz w:val="28"/>
          <w:szCs w:val="28"/>
          <w:highlight w:val="none"/>
          <w:u w:val="single"/>
        </w:rPr>
        <w:t xml:space="preserve">           </w:t>
      </w:r>
    </w:p>
    <w:p w14:paraId="1FD78747">
      <w:pPr>
        <w:spacing w:line="560" w:lineRule="exact"/>
        <w:ind w:left="1469" w:hanging="1308" w:hangingChars="400"/>
        <w:outlineLvl w:val="9"/>
        <w:rPr>
          <w:rFonts w:hint="eastAsia" w:ascii="宋体" w:hAnsi="宋体" w:eastAsia="宋体" w:cs="宋体"/>
          <w:b/>
          <w:color w:val="auto"/>
          <w:spacing w:val="23"/>
          <w:sz w:val="28"/>
          <w:szCs w:val="28"/>
          <w:highlight w:val="none"/>
        </w:rPr>
      </w:pPr>
      <w:r>
        <w:rPr>
          <w:rFonts w:hint="eastAsia" w:ascii="宋体" w:hAnsi="宋体" w:eastAsia="宋体" w:cs="宋体"/>
          <w:b/>
          <w:color w:val="auto"/>
          <w:spacing w:val="23"/>
          <w:sz w:val="28"/>
          <w:szCs w:val="28"/>
          <w:highlight w:val="none"/>
        </w:rPr>
        <w:t xml:space="preserve">          </w:t>
      </w:r>
      <w:r>
        <w:rPr>
          <w:rFonts w:hint="eastAsia" w:ascii="宋体" w:hAnsi="宋体" w:eastAsia="宋体" w:cs="宋体"/>
          <w:color w:val="auto"/>
          <w:sz w:val="20"/>
          <w:szCs w:val="22"/>
          <w:highlight w:val="none"/>
        </w:rPr>
        <w:fldChar w:fldCharType="begin"/>
      </w:r>
      <w:r>
        <w:rPr>
          <w:rFonts w:hint="eastAsia" w:ascii="宋体" w:hAnsi="宋体" w:eastAsia="宋体" w:cs="宋体"/>
          <w:color w:val="auto"/>
          <w:sz w:val="20"/>
          <w:szCs w:val="22"/>
          <w:highlight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color w:val="auto"/>
          <w:sz w:val="20"/>
          <w:szCs w:val="22"/>
          <w:highlight w:val="none"/>
        </w:rPr>
        <w:fldChar w:fldCharType="separate"/>
      </w:r>
      <w:r>
        <w:rPr>
          <w:rFonts w:hint="eastAsia" w:ascii="宋体" w:hAnsi="宋体" w:eastAsia="宋体" w:cs="宋体"/>
          <w:b/>
          <w:color w:val="auto"/>
          <w:spacing w:val="23"/>
          <w:sz w:val="28"/>
          <w:szCs w:val="28"/>
          <w:highlight w:val="none"/>
          <w:u w:val="none"/>
        </w:rPr>
        <w:t>乙方</w:t>
      </w:r>
      <w:r>
        <w:rPr>
          <w:rFonts w:hint="eastAsia" w:ascii="宋体" w:hAnsi="宋体" w:eastAsia="宋体" w:cs="宋体"/>
          <w:b/>
          <w:color w:val="auto"/>
          <w:spacing w:val="23"/>
          <w:sz w:val="28"/>
          <w:szCs w:val="28"/>
          <w:highlight w:val="none"/>
          <w:u w:val="none"/>
        </w:rPr>
        <w:fldChar w:fldCharType="end"/>
      </w:r>
      <w:r>
        <w:rPr>
          <w:rFonts w:hint="eastAsia" w:ascii="宋体" w:hAnsi="宋体" w:eastAsia="宋体" w:cs="宋体"/>
          <w:b/>
          <w:color w:val="auto"/>
          <w:spacing w:val="23"/>
          <w:sz w:val="28"/>
          <w:szCs w:val="28"/>
          <w:highlight w:val="none"/>
          <w:lang w:eastAsia="zh-CN"/>
        </w:rPr>
        <w:t>（</w:t>
      </w:r>
      <w:r>
        <w:rPr>
          <w:rFonts w:hint="eastAsia" w:ascii="宋体" w:hAnsi="宋体" w:eastAsia="宋体" w:cs="宋体"/>
          <w:b/>
          <w:color w:val="auto"/>
          <w:spacing w:val="23"/>
          <w:sz w:val="28"/>
          <w:szCs w:val="28"/>
          <w:highlight w:val="none"/>
          <w:lang w:val="en-US" w:eastAsia="zh-CN"/>
        </w:rPr>
        <w:t>中标人</w:t>
      </w:r>
      <w:r>
        <w:rPr>
          <w:rFonts w:hint="eastAsia" w:ascii="宋体" w:hAnsi="宋体" w:eastAsia="宋体" w:cs="宋体"/>
          <w:b/>
          <w:color w:val="auto"/>
          <w:spacing w:val="23"/>
          <w:sz w:val="28"/>
          <w:szCs w:val="28"/>
          <w:highlight w:val="none"/>
          <w:lang w:eastAsia="zh-CN"/>
        </w:rPr>
        <w:t>）</w:t>
      </w:r>
      <w:r>
        <w:rPr>
          <w:rFonts w:hint="eastAsia" w:ascii="宋体" w:hAnsi="宋体" w:eastAsia="宋体" w:cs="宋体"/>
          <w:b/>
          <w:color w:val="auto"/>
          <w:spacing w:val="23"/>
          <w:sz w:val="28"/>
          <w:szCs w:val="28"/>
          <w:highlight w:val="none"/>
        </w:rPr>
        <w:t>：</w:t>
      </w:r>
      <w:r>
        <w:rPr>
          <w:rFonts w:hint="eastAsia" w:ascii="宋体" w:hAnsi="宋体" w:eastAsia="宋体" w:cs="宋体"/>
          <w:b/>
          <w:color w:val="auto"/>
          <w:spacing w:val="23"/>
          <w:sz w:val="28"/>
          <w:szCs w:val="28"/>
          <w:highlight w:val="none"/>
          <w:u w:val="single"/>
        </w:rPr>
        <w:t xml:space="preserve">           </w:t>
      </w:r>
    </w:p>
    <w:p w14:paraId="47627A69">
      <w:pPr>
        <w:widowControl/>
        <w:adjustRightInd w:val="0"/>
        <w:spacing w:before="0" w:beforeAutospacing="1" w:after="0" w:afterAutospacing="1" w:line="560" w:lineRule="exact"/>
        <w:ind w:left="0" w:right="0"/>
        <w:jc w:val="left"/>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b/>
          <w:color w:val="auto"/>
          <w:spacing w:val="23"/>
          <w:kern w:val="0"/>
          <w:sz w:val="28"/>
          <w:szCs w:val="28"/>
          <w:highlight w:val="none"/>
          <w:lang w:val="en-US" w:eastAsia="zh-CN" w:bidi="ar"/>
        </w:rPr>
        <w:t xml:space="preserve">          签订时间：</w:t>
      </w:r>
      <w:r>
        <w:rPr>
          <w:rFonts w:hint="eastAsia" w:ascii="宋体" w:hAnsi="宋体" w:eastAsia="宋体" w:cs="宋体"/>
          <w:b/>
          <w:color w:val="auto"/>
          <w:spacing w:val="23"/>
          <w:kern w:val="0"/>
          <w:sz w:val="28"/>
          <w:szCs w:val="28"/>
          <w:highlight w:val="none"/>
          <w:u w:val="single"/>
          <w:lang w:val="en-US" w:eastAsia="zh-CN" w:bidi="ar"/>
        </w:rPr>
        <w:t xml:space="preserve">     </w:t>
      </w:r>
      <w:r>
        <w:rPr>
          <w:rFonts w:hint="eastAsia" w:ascii="宋体" w:hAnsi="宋体" w:eastAsia="宋体" w:cs="宋体"/>
          <w:b/>
          <w:color w:val="auto"/>
          <w:spacing w:val="23"/>
          <w:kern w:val="0"/>
          <w:sz w:val="28"/>
          <w:szCs w:val="28"/>
          <w:highlight w:val="none"/>
          <w:lang w:val="en-US" w:eastAsia="zh-CN" w:bidi="ar"/>
        </w:rPr>
        <w:t>年</w:t>
      </w:r>
      <w:r>
        <w:rPr>
          <w:rFonts w:hint="eastAsia" w:ascii="宋体" w:hAnsi="宋体" w:eastAsia="宋体" w:cs="宋体"/>
          <w:b/>
          <w:color w:val="auto"/>
          <w:spacing w:val="23"/>
          <w:kern w:val="0"/>
          <w:sz w:val="28"/>
          <w:szCs w:val="28"/>
          <w:highlight w:val="none"/>
          <w:u w:val="single"/>
          <w:lang w:val="en-US" w:eastAsia="zh-CN" w:bidi="ar"/>
        </w:rPr>
        <w:t xml:space="preserve">   </w:t>
      </w:r>
      <w:r>
        <w:rPr>
          <w:rFonts w:hint="eastAsia" w:ascii="宋体" w:hAnsi="宋体" w:eastAsia="宋体" w:cs="宋体"/>
          <w:b/>
          <w:color w:val="auto"/>
          <w:spacing w:val="23"/>
          <w:kern w:val="0"/>
          <w:sz w:val="28"/>
          <w:szCs w:val="28"/>
          <w:highlight w:val="none"/>
          <w:lang w:val="en-US" w:eastAsia="zh-CN" w:bidi="ar"/>
        </w:rPr>
        <w:t>月</w:t>
      </w:r>
      <w:r>
        <w:rPr>
          <w:rFonts w:hint="eastAsia" w:ascii="宋体" w:hAnsi="宋体" w:eastAsia="宋体" w:cs="宋体"/>
          <w:b/>
          <w:color w:val="auto"/>
          <w:spacing w:val="23"/>
          <w:kern w:val="0"/>
          <w:sz w:val="28"/>
          <w:szCs w:val="28"/>
          <w:highlight w:val="none"/>
          <w:u w:val="single"/>
          <w:lang w:val="en-US" w:eastAsia="zh-CN" w:bidi="ar"/>
        </w:rPr>
        <w:t xml:space="preserve">   </w:t>
      </w:r>
      <w:r>
        <w:rPr>
          <w:rFonts w:hint="eastAsia" w:ascii="宋体" w:hAnsi="宋体" w:eastAsia="宋体" w:cs="宋体"/>
          <w:b/>
          <w:color w:val="auto"/>
          <w:spacing w:val="23"/>
          <w:kern w:val="0"/>
          <w:sz w:val="28"/>
          <w:szCs w:val="28"/>
          <w:highlight w:val="none"/>
          <w:u w:val="none"/>
          <w:lang w:val="en-US" w:eastAsia="zh-CN" w:bidi="ar"/>
        </w:rPr>
        <w:t>日</w:t>
      </w:r>
    </w:p>
    <w:p w14:paraId="25C86B9B">
      <w:pPr>
        <w:outlineLvl w:val="9"/>
        <w:rPr>
          <w:rFonts w:hint="eastAsia" w:ascii="宋体" w:hAnsi="宋体" w:eastAsia="宋体" w:cs="宋体"/>
          <w:b/>
          <w:bCs w:val="0"/>
          <w:color w:val="auto"/>
          <w:sz w:val="28"/>
          <w:szCs w:val="28"/>
          <w:highlight w:val="none"/>
          <w:lang w:eastAsia="zh-CN"/>
        </w:rPr>
      </w:pPr>
      <w:r>
        <w:rPr>
          <w:rFonts w:hint="eastAsia" w:ascii="宋体" w:hAnsi="宋体" w:eastAsia="宋体" w:cs="宋体"/>
          <w:b/>
          <w:bCs w:val="0"/>
          <w:color w:val="auto"/>
          <w:sz w:val="28"/>
          <w:szCs w:val="28"/>
          <w:highlight w:val="none"/>
          <w:lang w:eastAsia="zh-CN"/>
        </w:rPr>
        <w:br w:type="page"/>
      </w:r>
    </w:p>
    <w:p w14:paraId="6D222CD5">
      <w:pPr>
        <w:widowControl/>
        <w:spacing w:line="360" w:lineRule="auto"/>
        <w:jc w:val="center"/>
        <w:outlineLvl w:val="9"/>
        <w:rPr>
          <w:rFonts w:hint="eastAsia" w:ascii="宋体" w:hAnsi="宋体" w:eastAsia="宋体" w:cs="宋体"/>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（此合同草案条款，采购人和中标单位所签订的合同不得对招标文件确定的事项和中标人的投标文件做实质性修改，最终签订的合同以采购人确定的合同内容为准。）</w:t>
      </w:r>
    </w:p>
    <w:p w14:paraId="7401112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en-US"/>
        </w:rPr>
        <w:t>采购方：</w:t>
      </w:r>
      <w:r>
        <w:rPr>
          <w:rFonts w:hint="eastAsia" w:ascii="宋体" w:hAnsi="宋体" w:eastAsia="宋体" w:cs="宋体"/>
          <w:color w:val="auto"/>
          <w:sz w:val="22"/>
          <w:szCs w:val="22"/>
          <w:u w:val="single"/>
          <w:lang w:val="en-US" w:eastAsia="zh-CN"/>
        </w:rPr>
        <w:t xml:space="preserve">             </w:t>
      </w:r>
      <w:r>
        <w:rPr>
          <w:rFonts w:hint="eastAsia" w:ascii="宋体" w:hAnsi="宋体" w:eastAsia="宋体" w:cs="宋体"/>
          <w:color w:val="auto"/>
          <w:sz w:val="22"/>
          <w:szCs w:val="22"/>
          <w:lang w:val="en-US" w:eastAsia="en-US"/>
        </w:rPr>
        <w:t>(以下简称：甲方)</w:t>
      </w:r>
    </w:p>
    <w:p w14:paraId="77A5C3E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en-US"/>
        </w:rPr>
        <w:t>供应方：</w:t>
      </w:r>
      <w:r>
        <w:rPr>
          <w:rFonts w:hint="eastAsia" w:ascii="宋体" w:hAnsi="宋体" w:eastAsia="宋体" w:cs="宋体"/>
          <w:color w:val="auto"/>
          <w:sz w:val="22"/>
          <w:szCs w:val="22"/>
          <w:u w:val="single"/>
          <w:lang w:val="en-US" w:eastAsia="en-US"/>
        </w:rPr>
        <w:t xml:space="preserve">             </w:t>
      </w:r>
      <w:r>
        <w:rPr>
          <w:rFonts w:hint="eastAsia" w:ascii="宋体" w:hAnsi="宋体" w:eastAsia="宋体" w:cs="宋体"/>
          <w:color w:val="auto"/>
          <w:sz w:val="22"/>
          <w:szCs w:val="22"/>
          <w:lang w:val="en-US" w:eastAsia="en-US"/>
        </w:rPr>
        <w:t>(以下简称：乙方)</w:t>
      </w:r>
    </w:p>
    <w:p w14:paraId="31E0EBB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smallCaps w:val="0"/>
          <w:color w:val="auto"/>
          <w:spacing w:val="0"/>
          <w:sz w:val="22"/>
          <w:szCs w:val="22"/>
          <w:highlight w:val="none"/>
          <w:lang w:eastAsia="zh-CN"/>
        </w:rPr>
        <w:t>甲乙双方根据《中华人民共和国政府采购法》《中华人民共和国民法典》及政府采购招标有关法律法规之规定，在遵循公开、公平、公正及平等、自愿、诚信原则下，</w:t>
      </w:r>
      <w:r>
        <w:rPr>
          <w:rFonts w:hint="eastAsia" w:ascii="宋体" w:hAnsi="宋体" w:eastAsia="宋体" w:cs="宋体"/>
          <w:color w:val="auto"/>
          <w:sz w:val="22"/>
          <w:szCs w:val="22"/>
        </w:rPr>
        <w:t>签订本合同，并共同遵守如下条款：</w:t>
      </w:r>
    </w:p>
    <w:tbl>
      <w:tblPr>
        <w:tblStyle w:val="4"/>
        <w:tblpPr w:leftFromText="180" w:rightFromText="180" w:vertAnchor="text" w:horzAnchor="page" w:tblpX="1724" w:tblpY="428"/>
        <w:tblOverlap w:val="never"/>
        <w:tblW w:w="825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9"/>
        <w:gridCol w:w="1681"/>
        <w:gridCol w:w="906"/>
        <w:gridCol w:w="1500"/>
        <w:gridCol w:w="1588"/>
        <w:gridCol w:w="1683"/>
      </w:tblGrid>
      <w:tr w14:paraId="3D152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8" w:hRule="atLeast"/>
        </w:trPr>
        <w:tc>
          <w:tcPr>
            <w:tcW w:w="899" w:type="dxa"/>
            <w:vAlign w:val="top"/>
          </w:tcPr>
          <w:p w14:paraId="24F91A26">
            <w:pPr>
              <w:widowControl w:val="0"/>
              <w:bidi w:val="0"/>
              <w:ind w:firstLine="420"/>
              <w:jc w:val="both"/>
              <w:rPr>
                <w:rFonts w:hint="default" w:ascii="宋体" w:hAnsi="宋体" w:eastAsia="宋体" w:cs="宋体"/>
                <w:color w:val="auto"/>
                <w:kern w:val="2"/>
                <w:sz w:val="22"/>
                <w:szCs w:val="22"/>
                <w:shd w:val="clear" w:color="auto" w:fill="auto"/>
                <w:lang w:val="en-US" w:eastAsia="zh-CN" w:bidi="ar-SA"/>
              </w:rPr>
            </w:pPr>
            <w:r>
              <w:rPr>
                <w:rFonts w:hint="eastAsia" w:ascii="宋体" w:hAnsi="宋体" w:eastAsia="宋体" w:cs="宋体"/>
                <w:color w:val="auto"/>
                <w:kern w:val="2"/>
                <w:sz w:val="22"/>
                <w:szCs w:val="22"/>
                <w:shd w:val="clear" w:color="auto" w:fill="auto"/>
                <w:lang w:val="en-US" w:eastAsia="zh-CN" w:bidi="ar-SA"/>
              </w:rPr>
              <w:t>序号</w:t>
            </w:r>
          </w:p>
        </w:tc>
        <w:tc>
          <w:tcPr>
            <w:tcW w:w="1681" w:type="dxa"/>
            <w:vAlign w:val="top"/>
          </w:tcPr>
          <w:p w14:paraId="13799D8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kern w:val="2"/>
                <w:sz w:val="22"/>
                <w:szCs w:val="22"/>
                <w:shd w:val="clear" w:color="auto" w:fill="auto"/>
                <w:lang w:val="en-US" w:eastAsia="en-US" w:bidi="ar-SA"/>
              </w:rPr>
            </w:pPr>
            <w:r>
              <w:rPr>
                <w:rFonts w:hint="eastAsia" w:ascii="宋体" w:hAnsi="宋体" w:eastAsia="宋体" w:cs="宋体"/>
                <w:color w:val="auto"/>
                <w:kern w:val="2"/>
                <w:sz w:val="22"/>
                <w:szCs w:val="22"/>
                <w:shd w:val="clear" w:color="auto" w:fill="auto"/>
                <w:lang w:val="en-US" w:eastAsia="zh-CN" w:bidi="ar-SA"/>
              </w:rPr>
              <w:t>货物</w:t>
            </w:r>
            <w:r>
              <w:rPr>
                <w:rFonts w:hint="eastAsia" w:ascii="宋体" w:hAnsi="宋体" w:eastAsia="宋体" w:cs="宋体"/>
                <w:color w:val="auto"/>
                <w:kern w:val="2"/>
                <w:sz w:val="22"/>
                <w:szCs w:val="22"/>
                <w:shd w:val="clear" w:color="auto" w:fill="auto"/>
                <w:lang w:val="en-US" w:eastAsia="en-US" w:bidi="ar-SA"/>
              </w:rPr>
              <w:t>种类</w:t>
            </w:r>
          </w:p>
        </w:tc>
        <w:tc>
          <w:tcPr>
            <w:tcW w:w="906" w:type="dxa"/>
            <w:vAlign w:val="top"/>
          </w:tcPr>
          <w:p w14:paraId="7252A81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品牌</w:t>
            </w:r>
          </w:p>
        </w:tc>
        <w:tc>
          <w:tcPr>
            <w:tcW w:w="1500" w:type="dxa"/>
            <w:vAlign w:val="top"/>
          </w:tcPr>
          <w:p w14:paraId="6DBF955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规格/单位</w:t>
            </w:r>
          </w:p>
        </w:tc>
        <w:tc>
          <w:tcPr>
            <w:tcW w:w="1588" w:type="dxa"/>
            <w:vAlign w:val="top"/>
          </w:tcPr>
          <w:p w14:paraId="00E2547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单价/元</w:t>
            </w:r>
          </w:p>
        </w:tc>
        <w:tc>
          <w:tcPr>
            <w:tcW w:w="1683" w:type="dxa"/>
            <w:vAlign w:val="top"/>
          </w:tcPr>
          <w:p w14:paraId="3338897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备注</w:t>
            </w:r>
          </w:p>
        </w:tc>
      </w:tr>
      <w:tr w14:paraId="2DCC8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899" w:type="dxa"/>
            <w:vAlign w:val="top"/>
          </w:tcPr>
          <w:p w14:paraId="04F81A0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1</w:t>
            </w:r>
          </w:p>
        </w:tc>
        <w:tc>
          <w:tcPr>
            <w:tcW w:w="1681" w:type="dxa"/>
            <w:vAlign w:val="top"/>
          </w:tcPr>
          <w:p w14:paraId="34F3A63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906" w:type="dxa"/>
            <w:vAlign w:val="top"/>
          </w:tcPr>
          <w:p w14:paraId="2773B1E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500" w:type="dxa"/>
            <w:vAlign w:val="top"/>
          </w:tcPr>
          <w:p w14:paraId="4EF546C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588" w:type="dxa"/>
            <w:vAlign w:val="top"/>
          </w:tcPr>
          <w:p w14:paraId="253EF3A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683" w:type="dxa"/>
            <w:vAlign w:val="top"/>
          </w:tcPr>
          <w:p w14:paraId="752A095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r>
      <w:tr w14:paraId="2DB80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899" w:type="dxa"/>
            <w:vAlign w:val="top"/>
          </w:tcPr>
          <w:p w14:paraId="270C4A5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2</w:t>
            </w:r>
          </w:p>
        </w:tc>
        <w:tc>
          <w:tcPr>
            <w:tcW w:w="1681" w:type="dxa"/>
            <w:vAlign w:val="top"/>
          </w:tcPr>
          <w:p w14:paraId="79EB6CA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906" w:type="dxa"/>
            <w:vAlign w:val="top"/>
          </w:tcPr>
          <w:p w14:paraId="1A1D7C5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500" w:type="dxa"/>
            <w:vAlign w:val="top"/>
          </w:tcPr>
          <w:p w14:paraId="3E565B7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588" w:type="dxa"/>
            <w:vAlign w:val="top"/>
          </w:tcPr>
          <w:p w14:paraId="35E87AB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683" w:type="dxa"/>
            <w:vAlign w:val="top"/>
          </w:tcPr>
          <w:p w14:paraId="5AE56CC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r>
      <w:tr w14:paraId="64998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899" w:type="dxa"/>
            <w:vAlign w:val="top"/>
          </w:tcPr>
          <w:p w14:paraId="24B60DC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3</w:t>
            </w:r>
          </w:p>
        </w:tc>
        <w:tc>
          <w:tcPr>
            <w:tcW w:w="1681" w:type="dxa"/>
            <w:vAlign w:val="top"/>
          </w:tcPr>
          <w:p w14:paraId="66F3051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906" w:type="dxa"/>
            <w:vAlign w:val="top"/>
          </w:tcPr>
          <w:p w14:paraId="7FD565D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500" w:type="dxa"/>
            <w:vAlign w:val="top"/>
          </w:tcPr>
          <w:p w14:paraId="7896E22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588" w:type="dxa"/>
            <w:vAlign w:val="top"/>
          </w:tcPr>
          <w:p w14:paraId="781DD38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c>
          <w:tcPr>
            <w:tcW w:w="1683" w:type="dxa"/>
            <w:vAlign w:val="top"/>
          </w:tcPr>
          <w:p w14:paraId="184A412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shd w:val="clear" w:color="auto" w:fill="auto"/>
                <w:lang w:val="en-US" w:eastAsia="en-US"/>
              </w:rPr>
            </w:pPr>
          </w:p>
        </w:tc>
      </w:tr>
    </w:tbl>
    <w:p w14:paraId="00A494F9">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一、服务内容</w:t>
      </w:r>
    </w:p>
    <w:p w14:paraId="54B0929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2"/>
          <w:szCs w:val="22"/>
          <w:lang w:val="en-US" w:eastAsia="zh-CN"/>
        </w:rPr>
      </w:pPr>
    </w:p>
    <w:p w14:paraId="3B1EE46F">
      <w:pPr>
        <w:keepNext w:val="0"/>
        <w:keepLines w:val="0"/>
        <w:pageBreakBefore w:val="0"/>
        <w:widowControl w:val="0"/>
        <w:kinsoku/>
        <w:wordWrap/>
        <w:overflowPunct/>
        <w:topLinePunct w:val="0"/>
        <w:autoSpaceDE/>
        <w:autoSpaceDN/>
        <w:bidi w:val="0"/>
        <w:adjustRightInd w:val="0"/>
        <w:snapToGrid w:val="0"/>
        <w:spacing w:line="360" w:lineRule="auto"/>
        <w:ind w:firstLine="221" w:firstLineChars="100"/>
        <w:textAlignment w:val="auto"/>
        <w:rPr>
          <w:rFonts w:hint="eastAsia" w:ascii="宋体" w:hAnsi="宋体" w:eastAsia="宋体" w:cs="宋体"/>
          <w:b/>
          <w:bCs/>
          <w:color w:val="auto"/>
          <w:sz w:val="22"/>
          <w:szCs w:val="22"/>
          <w:lang w:val="en-US" w:eastAsia="en-US"/>
        </w:rPr>
      </w:pPr>
      <w:r>
        <w:rPr>
          <w:rFonts w:hint="eastAsia" w:ascii="宋体" w:hAnsi="宋体" w:eastAsia="宋体" w:cs="宋体"/>
          <w:b/>
          <w:bCs/>
          <w:color w:val="auto"/>
          <w:sz w:val="22"/>
          <w:szCs w:val="22"/>
          <w:lang w:val="en-US" w:eastAsia="zh-CN"/>
        </w:rPr>
        <w:t>二</w:t>
      </w:r>
      <w:r>
        <w:rPr>
          <w:rFonts w:hint="eastAsia" w:ascii="宋体" w:hAnsi="宋体" w:eastAsia="宋体" w:cs="宋体"/>
          <w:b/>
          <w:bCs/>
          <w:color w:val="auto"/>
          <w:sz w:val="22"/>
          <w:szCs w:val="22"/>
          <w:lang w:val="en-US" w:eastAsia="en-US"/>
        </w:rPr>
        <w:t>、合同价款</w:t>
      </w:r>
    </w:p>
    <w:p w14:paraId="6D70D95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en-US"/>
        </w:rPr>
        <w:t>1、合同总价包括：</w:t>
      </w:r>
      <w:r>
        <w:rPr>
          <w:rFonts w:hint="eastAsia" w:ascii="宋体" w:hAnsi="宋体" w:eastAsia="宋体" w:cs="宋体"/>
          <w:color w:val="auto"/>
          <w:sz w:val="22"/>
          <w:szCs w:val="22"/>
          <w:lang w:val="en-US" w:eastAsia="zh-CN"/>
        </w:rPr>
        <w:t>采购货物的供应费、运杂费（含仓储费、运输费、保险费、装卸费）、抽检费等其他有关各项全部含税费用</w:t>
      </w:r>
      <w:r>
        <w:rPr>
          <w:rFonts w:hint="eastAsia" w:ascii="宋体" w:hAnsi="宋体" w:eastAsia="宋体" w:cs="宋体"/>
          <w:color w:val="auto"/>
          <w:sz w:val="22"/>
          <w:szCs w:val="22"/>
          <w:lang w:val="en-US" w:eastAsia="en-US"/>
        </w:rPr>
        <w:t>。</w:t>
      </w:r>
    </w:p>
    <w:p w14:paraId="141CE6D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采购包1-采购包5，采购包11-采购包17，结算时，以中标价*实际供应量进行据实结算。</w:t>
      </w:r>
    </w:p>
    <w:p w14:paraId="332DF8E2">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采购包16-采购包17调价机制：</w:t>
      </w:r>
    </w:p>
    <w:p w14:paraId="04453672">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kern w:val="0"/>
          <w:sz w:val="21"/>
          <w:szCs w:val="21"/>
          <w:lang w:val="en-US" w:eastAsia="zh-CN"/>
        </w:rPr>
        <w:t>合同执行过程中，若市场价格浮动过大（浮动超10%时），则启动调价机制，具体由采购人根据情况询价确定</w:t>
      </w:r>
      <w:r>
        <w:rPr>
          <w:rFonts w:hint="eastAsia" w:ascii="宋体" w:hAnsi="宋体" w:eastAsia="宋体" w:cs="宋体"/>
          <w:color w:val="auto"/>
          <w:sz w:val="22"/>
          <w:szCs w:val="22"/>
          <w:lang w:val="en-US" w:eastAsia="zh-CN"/>
        </w:rPr>
        <w:t>。</w:t>
      </w:r>
    </w:p>
    <w:p w14:paraId="0F2C199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采购包6-采购包10，结算时，以基准价*（1-下浮率）*实际供应量进行据实结算（</w:t>
      </w:r>
      <w:bookmarkStart w:id="0" w:name="_GoBack"/>
      <w:bookmarkEnd w:id="0"/>
      <w:r>
        <w:rPr>
          <w:rFonts w:hint="eastAsia" w:ascii="宋体" w:hAnsi="宋体" w:eastAsia="宋体" w:cs="宋体"/>
          <w:color w:val="auto"/>
          <w:sz w:val="22"/>
          <w:szCs w:val="22"/>
          <w:lang w:val="en-US" w:eastAsia="zh-CN"/>
        </w:rPr>
        <w:t>下浮率为所有肉类统一下浮率）。</w:t>
      </w:r>
    </w:p>
    <w:p w14:paraId="51A17A2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基准价确定方式：定期由供应商、城乡各3-5所学校市场询价后汇总，参照渭南市商务局当月公布的《生活必需品价格涨跌互现》，由</w:t>
      </w:r>
      <w:r>
        <w:rPr>
          <w:rFonts w:hint="eastAsia" w:ascii="宋体" w:hAnsi="宋体" w:eastAsia="宋体" w:cs="宋体"/>
          <w:color w:val="auto"/>
          <w:kern w:val="0"/>
          <w:sz w:val="21"/>
          <w:szCs w:val="21"/>
          <w:lang w:val="en-US" w:eastAsia="zh-CN"/>
        </w:rPr>
        <w:t>后勤管理中心</w:t>
      </w:r>
      <w:r>
        <w:rPr>
          <w:rFonts w:hint="eastAsia" w:ascii="宋体" w:hAnsi="宋体" w:eastAsia="宋体" w:cs="宋体"/>
          <w:color w:val="auto"/>
          <w:sz w:val="22"/>
          <w:szCs w:val="22"/>
          <w:lang w:val="en-US" w:eastAsia="zh-CN"/>
        </w:rPr>
        <w:t>组织供应商及询价学校磋商，共同决定基准价格。</w:t>
      </w:r>
    </w:p>
    <w:p w14:paraId="6411492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2、货款支付：</w:t>
      </w:r>
    </w:p>
    <w:p w14:paraId="00C6D6C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sz w:val="22"/>
          <w:szCs w:val="22"/>
          <w:lang w:val="en-US" w:eastAsia="zh-CN"/>
        </w:rPr>
        <w:t>1）</w:t>
      </w:r>
      <w:r>
        <w:rPr>
          <w:rFonts w:hint="eastAsia" w:ascii="宋体" w:hAnsi="宋体" w:eastAsia="宋体" w:cs="宋体"/>
          <w:color w:val="auto"/>
          <w:kern w:val="0"/>
          <w:sz w:val="21"/>
          <w:szCs w:val="21"/>
          <w:lang w:val="en-US" w:eastAsia="zh-CN"/>
        </w:rPr>
        <w:t>供应商应于次月5日前将上月（自然月）双方签字确认的验收证明材料、货物清单及开具的正式发票，送学校确认，学校按照合同约定支付货款。</w:t>
      </w:r>
    </w:p>
    <w:p w14:paraId="666DBFE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2）支付形式：银行转账。</w:t>
      </w:r>
    </w:p>
    <w:p w14:paraId="38A3F86A">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宋体" w:hAnsi="宋体" w:eastAsia="宋体" w:cs="宋体"/>
          <w:color w:val="auto"/>
          <w:sz w:val="22"/>
          <w:szCs w:val="22"/>
          <w:lang w:val="en-US" w:eastAsia="en-US"/>
        </w:rPr>
      </w:pPr>
      <w:r>
        <w:rPr>
          <w:rFonts w:hint="eastAsia" w:ascii="宋体" w:hAnsi="宋体" w:eastAsia="宋体" w:cs="宋体"/>
          <w:b/>
          <w:bCs/>
          <w:color w:val="auto"/>
          <w:sz w:val="22"/>
          <w:szCs w:val="22"/>
          <w:lang w:val="en-US" w:eastAsia="zh-CN"/>
        </w:rPr>
        <w:t>三、供货时间及地点</w:t>
      </w:r>
    </w:p>
    <w:p w14:paraId="666A741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乙方在合同签订生效之日起，按甲方（实际使用学校）指定的时间、地点服务。</w:t>
      </w:r>
    </w:p>
    <w:p w14:paraId="7BB27D6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u w:val="single"/>
          <w:lang w:val="en-US" w:eastAsia="zh-CN"/>
        </w:rPr>
      </w:pPr>
      <w:r>
        <w:rPr>
          <w:rFonts w:hint="eastAsia" w:ascii="宋体" w:hAnsi="宋体" w:eastAsia="宋体" w:cs="宋体"/>
          <w:color w:val="auto"/>
          <w:sz w:val="22"/>
          <w:szCs w:val="22"/>
          <w:lang w:val="en-US" w:eastAsia="zh-CN"/>
        </w:rPr>
        <w:t>1.供货时间（期限）：</w:t>
      </w:r>
      <w:r>
        <w:rPr>
          <w:rFonts w:hint="eastAsia" w:ascii="宋体" w:hAnsi="宋体" w:eastAsia="宋体" w:cs="宋体"/>
          <w:color w:val="auto"/>
          <w:sz w:val="22"/>
          <w:szCs w:val="22"/>
          <w:u w:val="single"/>
          <w:lang w:val="en-US" w:eastAsia="zh-CN"/>
        </w:rPr>
        <w:t>一学年（2025年9月至2026年7月）</w:t>
      </w:r>
      <w:r>
        <w:rPr>
          <w:rFonts w:hint="eastAsia" w:ascii="宋体" w:hAnsi="宋体" w:eastAsia="宋体" w:cs="宋体"/>
          <w:color w:val="auto"/>
          <w:sz w:val="22"/>
          <w:szCs w:val="22"/>
          <w:u w:val="none"/>
          <w:lang w:val="en-US" w:eastAsia="zh-CN"/>
        </w:rPr>
        <w:t>。</w:t>
      </w:r>
    </w:p>
    <w:p w14:paraId="0E626BF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2.供货地点：</w:t>
      </w:r>
      <w:r>
        <w:rPr>
          <w:rFonts w:hint="eastAsia" w:ascii="宋体" w:hAnsi="宋体" w:eastAsia="宋体" w:cs="宋体"/>
          <w:color w:val="auto"/>
          <w:sz w:val="22"/>
          <w:szCs w:val="22"/>
          <w:u w:val="single"/>
          <w:lang w:val="en-US" w:eastAsia="zh-CN"/>
        </w:rPr>
        <w:t xml:space="preserve">                  </w:t>
      </w:r>
    </w:p>
    <w:p w14:paraId="76385E63">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四、</w:t>
      </w:r>
      <w:r>
        <w:rPr>
          <w:rFonts w:hint="eastAsia" w:ascii="宋体" w:hAnsi="宋体" w:eastAsia="宋体" w:cs="宋体"/>
          <w:b/>
          <w:bCs/>
          <w:color w:val="auto"/>
          <w:sz w:val="21"/>
          <w:szCs w:val="21"/>
          <w:lang w:val="en-US" w:eastAsia="zh-CN"/>
        </w:rPr>
        <w:t>配送要求</w:t>
      </w:r>
    </w:p>
    <w:p w14:paraId="7A655AC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1、乙方应具备项目实施所需的人力、物力、财力等条件，确保产品能够按时、保质运送至甲方指定地点。有固定的符合相关指标要求的经营场所、有符合食品安全运输标准的运输车辆；</w:t>
      </w:r>
    </w:p>
    <w:p w14:paraId="03BDA29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乙方有具体的配送管理制度和管理办法：制定合理、可行的项目实施方案及各种突发情况（市场供求变化、天气、车辆故障等）的应急预案，能够在承诺的时间内按期交货，并按照甲方要求将产品运送至指定位置，不得拒绝为规模较小的学校供货；</w:t>
      </w:r>
    </w:p>
    <w:p w14:paraId="6AB07F5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3、乙方能满足用户的配送要求，承诺最短响应时间，对服务期内所提供产品食品安全、质量等方面具有详细的服务承诺及保证措施；</w:t>
      </w:r>
    </w:p>
    <w:p w14:paraId="2C2A962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5、乙方自备送货车（冷藏或恒温），安排专人及时供货，装卸费、送货费用及运输安全由乙方全部承担；</w:t>
      </w:r>
    </w:p>
    <w:p w14:paraId="2421021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6、特殊情况下，学校需要的小批量的急用物资，乙方应予以满足解决；</w:t>
      </w:r>
    </w:p>
    <w:p w14:paraId="68FE22D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7、肉类应使用制冷效果达标的冷藏车，确保运输途中温度控制在0℃-4℃，并保证卫生及安全质量；</w:t>
      </w:r>
    </w:p>
    <w:p w14:paraId="4DBE8F4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8、乙方不得将配送工作进行任何方式的转包或分包；</w:t>
      </w:r>
    </w:p>
    <w:p w14:paraId="2E99D27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eastAsia="zh-CN"/>
        </w:rPr>
      </w:pPr>
      <w:r>
        <w:rPr>
          <w:rFonts w:hint="eastAsia" w:ascii="宋体" w:hAnsi="宋体" w:eastAsia="宋体" w:cs="宋体"/>
          <w:color w:val="auto"/>
          <w:sz w:val="22"/>
          <w:szCs w:val="22"/>
          <w:lang w:val="en-US" w:eastAsia="zh-CN"/>
        </w:rPr>
        <w:t>9、</w:t>
      </w:r>
      <w:r>
        <w:rPr>
          <w:rFonts w:hint="eastAsia" w:ascii="宋体" w:hAnsi="宋体" w:eastAsia="宋体" w:cs="宋体"/>
          <w:color w:val="auto"/>
          <w:sz w:val="22"/>
          <w:szCs w:val="22"/>
        </w:rPr>
        <w:t>乙方提供的全部货物均应按标准保护措施进行包装</w:t>
      </w:r>
      <w:r>
        <w:rPr>
          <w:rFonts w:hint="eastAsia" w:ascii="宋体" w:hAnsi="宋体" w:eastAsia="宋体" w:cs="宋体"/>
          <w:color w:val="auto"/>
          <w:sz w:val="22"/>
          <w:szCs w:val="22"/>
          <w:lang w:eastAsia="zh-CN"/>
        </w:rPr>
        <w:t>，</w:t>
      </w:r>
      <w:r>
        <w:rPr>
          <w:rFonts w:hint="eastAsia" w:ascii="宋体" w:hAnsi="宋体" w:eastAsia="宋体" w:cs="宋体"/>
          <w:color w:val="auto"/>
          <w:sz w:val="22"/>
          <w:szCs w:val="22"/>
        </w:rPr>
        <w:t>每一包装应附详细的装箱单和质量合格证</w:t>
      </w:r>
      <w:r>
        <w:rPr>
          <w:rFonts w:hint="eastAsia" w:ascii="宋体" w:hAnsi="宋体" w:eastAsia="宋体" w:cs="宋体"/>
          <w:color w:val="auto"/>
          <w:sz w:val="22"/>
          <w:szCs w:val="22"/>
          <w:lang w:eastAsia="zh-CN"/>
        </w:rPr>
        <w:t>；</w:t>
      </w:r>
    </w:p>
    <w:p w14:paraId="5D67797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10</w:t>
      </w:r>
      <w:r>
        <w:rPr>
          <w:rFonts w:hint="eastAsia" w:ascii="宋体" w:hAnsi="宋体" w:eastAsia="宋体" w:cs="宋体"/>
          <w:color w:val="auto"/>
          <w:sz w:val="22"/>
          <w:szCs w:val="22"/>
        </w:rPr>
        <w:t>、货物在到达甲方指定地点前发生的损耗由乙方承担</w:t>
      </w:r>
      <w:r>
        <w:rPr>
          <w:rFonts w:hint="eastAsia" w:ascii="宋体" w:hAnsi="宋体" w:eastAsia="宋体" w:cs="宋体"/>
          <w:color w:val="auto"/>
          <w:sz w:val="22"/>
          <w:szCs w:val="22"/>
          <w:lang w:eastAsia="zh-CN"/>
        </w:rPr>
        <w:t>；</w:t>
      </w:r>
    </w:p>
    <w:p w14:paraId="5C2E414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default"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11、其他情形。</w:t>
      </w:r>
    </w:p>
    <w:p w14:paraId="7F863770">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宋体" w:hAnsi="宋体" w:eastAsia="宋体" w:cs="宋体"/>
          <w:b/>
          <w:bCs w:val="0"/>
          <w:color w:val="auto"/>
          <w:sz w:val="22"/>
          <w:szCs w:val="22"/>
          <w:lang w:eastAsia="zh-CN"/>
        </w:rPr>
      </w:pPr>
      <w:r>
        <w:rPr>
          <w:rFonts w:hint="eastAsia" w:ascii="宋体" w:hAnsi="宋体" w:eastAsia="宋体" w:cs="宋体"/>
          <w:b/>
          <w:bCs w:val="0"/>
          <w:color w:val="auto"/>
          <w:sz w:val="22"/>
          <w:szCs w:val="22"/>
          <w:lang w:eastAsia="zh-CN"/>
        </w:rPr>
        <w:t>五、</w:t>
      </w:r>
      <w:r>
        <w:rPr>
          <w:rFonts w:hint="eastAsia" w:ascii="宋体" w:hAnsi="宋体" w:eastAsia="宋体" w:cs="宋体"/>
          <w:b/>
          <w:bCs w:val="0"/>
          <w:color w:val="auto"/>
          <w:sz w:val="22"/>
          <w:szCs w:val="22"/>
        </w:rPr>
        <w:t>权利</w:t>
      </w:r>
      <w:r>
        <w:rPr>
          <w:rFonts w:hint="eastAsia" w:ascii="宋体" w:hAnsi="宋体" w:eastAsia="宋体" w:cs="宋体"/>
          <w:b/>
          <w:bCs w:val="0"/>
          <w:color w:val="auto"/>
          <w:sz w:val="22"/>
          <w:szCs w:val="22"/>
          <w:lang w:eastAsia="zh-CN"/>
        </w:rPr>
        <w:t>义务</w:t>
      </w:r>
    </w:p>
    <w:p w14:paraId="32FA09D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rPr>
          <w:rFonts w:hint="eastAsia" w:ascii="宋体" w:hAnsi="宋体" w:eastAsia="宋体" w:cs="宋体"/>
          <w:b w:val="0"/>
          <w:bCs/>
          <w:color w:val="auto"/>
          <w:kern w:val="2"/>
          <w:sz w:val="22"/>
          <w:szCs w:val="22"/>
          <w:lang w:val="en-US" w:eastAsia="zh-CN" w:bidi="ar-SA"/>
        </w:rPr>
      </w:pPr>
      <w:r>
        <w:rPr>
          <w:rFonts w:hint="eastAsia" w:ascii="宋体" w:hAnsi="宋体" w:eastAsia="宋体" w:cs="宋体"/>
          <w:b w:val="0"/>
          <w:bCs/>
          <w:color w:val="auto"/>
          <w:kern w:val="2"/>
          <w:sz w:val="22"/>
          <w:szCs w:val="22"/>
          <w:lang w:val="en-US" w:eastAsia="zh-CN" w:bidi="ar-SA"/>
        </w:rPr>
        <w:t>甲方权利及义务</w:t>
      </w:r>
    </w:p>
    <w:p w14:paraId="45D5B5F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40" w:firstLineChars="200"/>
        <w:textAlignment w:val="auto"/>
        <w:outlineLvl w:val="9"/>
        <w:rPr>
          <w:rFonts w:hint="eastAsia" w:ascii="宋体" w:hAnsi="宋体" w:eastAsia="宋体" w:cs="宋体"/>
          <w:color w:val="auto"/>
          <w:sz w:val="22"/>
          <w:szCs w:val="22"/>
          <w:lang w:val="en-US" w:eastAsia="zh-CN"/>
        </w:rPr>
      </w:pPr>
      <w:r>
        <w:rPr>
          <w:rFonts w:hint="eastAsia" w:ascii="宋体" w:hAnsi="宋体" w:eastAsia="宋体" w:cs="宋体"/>
          <w:color w:val="auto"/>
          <w:kern w:val="2"/>
          <w:sz w:val="22"/>
          <w:szCs w:val="22"/>
          <w:lang w:val="en-US" w:eastAsia="zh-CN" w:bidi="ar-SA"/>
        </w:rPr>
        <w:t>1、</w:t>
      </w:r>
      <w:r>
        <w:rPr>
          <w:rFonts w:hint="eastAsia" w:ascii="宋体" w:hAnsi="宋体" w:eastAsia="宋体" w:cs="宋体"/>
          <w:color w:val="auto"/>
          <w:kern w:val="0"/>
          <w:sz w:val="21"/>
          <w:szCs w:val="21"/>
          <w:lang w:val="en-US" w:eastAsia="zh-CN"/>
        </w:rPr>
        <w:t>供货期内，采购人将会同相关部门不定期对供应商所供产品进行质量抽样检测，抽检费用由供应商承担；若检测不合格，采购人有权按照民法典相关规定追究其供应商违约责任并终止采购合同，并将其违约行为报监管部门。供应商供货不及时、出现不能按需供货，按照民法典相关规定追究其供应商违约责任并终止采购合同；</w:t>
      </w:r>
    </w:p>
    <w:p w14:paraId="5549F54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2、甲方有权根据实际需求量调整采购计划及供货时间段；</w:t>
      </w:r>
    </w:p>
    <w:p w14:paraId="7D571EE4">
      <w:pPr>
        <w:keepNext w:val="0"/>
        <w:keepLines w:val="0"/>
        <w:pageBreakBefore w:val="0"/>
        <w:widowControl w:val="0"/>
        <w:tabs>
          <w:tab w:val="left" w:pos="8820"/>
        </w:tabs>
        <w:kinsoku/>
        <w:wordWrap/>
        <w:overflowPunct/>
        <w:topLinePunct w:val="0"/>
        <w:autoSpaceDE/>
        <w:autoSpaceDN/>
        <w:bidi w:val="0"/>
        <w:adjustRightInd w:val="0"/>
        <w:snapToGrid w:val="0"/>
        <w:spacing w:line="360" w:lineRule="auto"/>
        <w:ind w:firstLine="440" w:firstLineChars="200"/>
        <w:jc w:val="both"/>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3、甲方有权向乙方索取必需的产品检验合格证明资料；</w:t>
      </w:r>
    </w:p>
    <w:p w14:paraId="33166E11">
      <w:pPr>
        <w:keepNext w:val="0"/>
        <w:keepLines w:val="0"/>
        <w:pageBreakBefore w:val="0"/>
        <w:widowControl w:val="0"/>
        <w:tabs>
          <w:tab w:val="left" w:pos="8820"/>
        </w:tabs>
        <w:kinsoku/>
        <w:wordWrap/>
        <w:overflowPunct/>
        <w:topLinePunct w:val="0"/>
        <w:autoSpaceDE/>
        <w:autoSpaceDN/>
        <w:bidi w:val="0"/>
        <w:adjustRightInd w:val="0"/>
        <w:snapToGrid w:val="0"/>
        <w:spacing w:line="360" w:lineRule="auto"/>
        <w:ind w:firstLine="440" w:firstLineChars="200"/>
        <w:jc w:val="both"/>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4、合同期内乙方提出有违招标文件或采购规定的要求，甲方有权终止合同；</w:t>
      </w:r>
    </w:p>
    <w:p w14:paraId="326E4A2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5、甲方应</w:t>
      </w:r>
      <w:r>
        <w:rPr>
          <w:rFonts w:hint="eastAsia" w:ascii="宋体" w:hAnsi="宋体" w:eastAsia="宋体" w:cs="宋体"/>
          <w:color w:val="auto"/>
          <w:sz w:val="22"/>
          <w:szCs w:val="22"/>
          <w:lang w:val="en-US" w:eastAsia="en-US"/>
        </w:rPr>
        <w:t>及时向乙方提供供应食材学校名单</w:t>
      </w:r>
      <w:r>
        <w:rPr>
          <w:rFonts w:hint="eastAsia" w:ascii="宋体" w:hAnsi="宋体" w:eastAsia="宋体" w:cs="宋体"/>
          <w:color w:val="auto"/>
          <w:sz w:val="22"/>
          <w:szCs w:val="22"/>
          <w:lang w:val="en-US" w:eastAsia="zh-CN"/>
        </w:rPr>
        <w:t>及联系方式；</w:t>
      </w:r>
    </w:p>
    <w:p w14:paraId="1A53ADF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baseline"/>
        <w:outlineLvl w:val="9"/>
        <w:rPr>
          <w:rFonts w:hint="eastAsia" w:ascii="宋体" w:hAnsi="宋体" w:eastAsia="宋体" w:cs="宋体"/>
          <w:smallCaps w:val="0"/>
          <w:color w:val="auto"/>
          <w:spacing w:val="0"/>
          <w:sz w:val="22"/>
          <w:szCs w:val="22"/>
          <w:highlight w:val="none"/>
          <w:lang w:eastAsia="zh-CN"/>
        </w:rPr>
      </w:pPr>
      <w:r>
        <w:rPr>
          <w:rFonts w:hint="eastAsia" w:ascii="宋体" w:hAnsi="宋体" w:eastAsia="宋体" w:cs="宋体"/>
          <w:color w:val="auto"/>
          <w:sz w:val="22"/>
          <w:szCs w:val="22"/>
          <w:lang w:val="en-US" w:eastAsia="zh-CN"/>
        </w:rPr>
        <w:t>6、</w:t>
      </w:r>
      <w:r>
        <w:rPr>
          <w:rFonts w:hint="eastAsia" w:ascii="宋体" w:hAnsi="宋体" w:eastAsia="宋体" w:cs="宋体"/>
          <w:smallCaps w:val="0"/>
          <w:color w:val="auto"/>
          <w:spacing w:val="0"/>
          <w:sz w:val="22"/>
          <w:szCs w:val="22"/>
          <w:highlight w:val="none"/>
          <w:lang w:eastAsia="zh-CN"/>
        </w:rPr>
        <w:t>甲方应确保按合同约定的方式及时间向乙方支付货款；</w:t>
      </w:r>
    </w:p>
    <w:p w14:paraId="62DDFD7A">
      <w:pPr>
        <w:keepNext w:val="0"/>
        <w:keepLines w:val="0"/>
        <w:pageBreakBefore w:val="0"/>
        <w:widowControl w:val="0"/>
        <w:kinsoku/>
        <w:wordWrap/>
        <w:overflowPunct/>
        <w:topLinePunct w:val="0"/>
        <w:autoSpaceDE/>
        <w:autoSpaceDN/>
        <w:bidi w:val="0"/>
        <w:adjustRightInd w:val="0"/>
        <w:snapToGrid w:val="0"/>
        <w:spacing w:line="360" w:lineRule="auto"/>
        <w:ind w:firstLine="436" w:firstLineChars="200"/>
        <w:textAlignment w:val="baseline"/>
        <w:outlineLvl w:val="9"/>
        <w:rPr>
          <w:rFonts w:hint="eastAsia" w:ascii="宋体" w:hAnsi="宋体" w:eastAsia="宋体" w:cs="宋体"/>
          <w:smallCaps w:val="0"/>
          <w:color w:val="auto"/>
          <w:spacing w:val="0"/>
          <w:sz w:val="22"/>
          <w:szCs w:val="22"/>
          <w:highlight w:val="none"/>
          <w:lang w:eastAsia="zh-CN"/>
        </w:rPr>
      </w:pPr>
      <w:r>
        <w:rPr>
          <w:rFonts w:hint="eastAsia" w:ascii="仿宋" w:hAnsi="仿宋" w:eastAsia="仿宋" w:cs="仿宋"/>
          <w:snapToGrid w:val="0"/>
          <w:color w:val="auto"/>
          <w:spacing w:val="-1"/>
          <w:kern w:val="0"/>
          <w:sz w:val="22"/>
          <w:szCs w:val="22"/>
          <w:lang w:val="en-US" w:eastAsia="zh-CN"/>
        </w:rPr>
        <w:t>7、</w:t>
      </w:r>
      <w:r>
        <w:rPr>
          <w:rFonts w:hint="eastAsia" w:ascii="宋体" w:hAnsi="宋体" w:eastAsia="宋体" w:cs="宋体"/>
          <w:smallCaps w:val="0"/>
          <w:color w:val="auto"/>
          <w:spacing w:val="0"/>
          <w:sz w:val="22"/>
          <w:szCs w:val="22"/>
          <w:highlight w:val="none"/>
          <w:lang w:eastAsia="en-US"/>
        </w:rPr>
        <w:t>甲方有对合同价格保密的义务，即不向第三方泄露</w:t>
      </w:r>
      <w:r>
        <w:rPr>
          <w:rFonts w:hint="eastAsia" w:ascii="宋体" w:hAnsi="宋体" w:eastAsia="宋体" w:cs="宋体"/>
          <w:smallCaps w:val="0"/>
          <w:color w:val="auto"/>
          <w:spacing w:val="0"/>
          <w:sz w:val="22"/>
          <w:szCs w:val="22"/>
          <w:highlight w:val="none"/>
          <w:lang w:eastAsia="zh-CN"/>
        </w:rPr>
        <w:t>。</w:t>
      </w:r>
    </w:p>
    <w:p w14:paraId="39A2BC8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baseline"/>
        <w:outlineLvl w:val="9"/>
        <w:rPr>
          <w:rFonts w:hint="eastAsia" w:ascii="宋体" w:hAnsi="宋体" w:eastAsia="宋体" w:cs="宋体"/>
          <w:b w:val="0"/>
          <w:bCs w:val="0"/>
          <w:smallCaps w:val="0"/>
          <w:color w:val="auto"/>
          <w:spacing w:val="0"/>
          <w:sz w:val="22"/>
          <w:szCs w:val="22"/>
          <w:highlight w:val="none"/>
          <w:lang w:eastAsia="zh-CN"/>
        </w:rPr>
      </w:pPr>
      <w:r>
        <w:rPr>
          <w:rFonts w:hint="eastAsia" w:ascii="宋体" w:hAnsi="宋体" w:eastAsia="宋体" w:cs="宋体"/>
          <w:b w:val="0"/>
          <w:bCs w:val="0"/>
          <w:smallCaps w:val="0"/>
          <w:color w:val="auto"/>
          <w:spacing w:val="0"/>
          <w:sz w:val="22"/>
          <w:szCs w:val="22"/>
          <w:highlight w:val="none"/>
          <w:lang w:eastAsia="zh-CN"/>
        </w:rPr>
        <w:t>乙方权利和义务：</w:t>
      </w:r>
    </w:p>
    <w:p w14:paraId="5626D8E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Calibri" w:hAnsi="Calibri" w:eastAsia="宋体" w:cs="Times New Roman"/>
          <w:color w:val="auto"/>
          <w:sz w:val="22"/>
          <w:szCs w:val="22"/>
          <w:lang w:val="en-US" w:eastAsia="zh-CN"/>
        </w:rPr>
      </w:pPr>
      <w:r>
        <w:rPr>
          <w:rFonts w:hint="eastAsia" w:ascii="Calibri" w:hAnsi="Calibri" w:eastAsia="宋体" w:cs="Times New Roman"/>
          <w:color w:val="auto"/>
          <w:sz w:val="22"/>
          <w:szCs w:val="22"/>
          <w:lang w:val="en-US" w:eastAsia="zh-CN"/>
        </w:rPr>
        <w:t>1、</w:t>
      </w:r>
      <w:r>
        <w:rPr>
          <w:rFonts w:ascii="Calibri" w:hAnsi="Calibri" w:eastAsia="宋体" w:cs="Times New Roman"/>
          <w:color w:val="auto"/>
          <w:sz w:val="22"/>
          <w:szCs w:val="22"/>
          <w:lang w:eastAsia="en-US"/>
        </w:rPr>
        <w:t>乙方所供产品必须是合同规定的品牌</w:t>
      </w:r>
      <w:r>
        <w:rPr>
          <w:rFonts w:hint="eastAsia" w:ascii="Calibri" w:hAnsi="Calibri" w:eastAsia="宋体" w:cs="Times New Roman"/>
          <w:color w:val="auto"/>
          <w:sz w:val="22"/>
          <w:szCs w:val="22"/>
          <w:lang w:eastAsia="zh-CN"/>
        </w:rPr>
        <w:t>、规格、质量标准</w:t>
      </w:r>
      <w:r>
        <w:rPr>
          <w:rFonts w:ascii="Calibri" w:hAnsi="Calibri" w:eastAsia="宋体" w:cs="Times New Roman"/>
          <w:color w:val="auto"/>
          <w:sz w:val="22"/>
          <w:szCs w:val="22"/>
          <w:lang w:eastAsia="en-US"/>
        </w:rPr>
        <w:t>，产品标识真实，符合国家相关标准，符合投标时产品的质量、规格、技术指标等要求</w:t>
      </w:r>
      <w:r>
        <w:rPr>
          <w:rFonts w:hint="eastAsia" w:ascii="Calibri" w:hAnsi="Calibri" w:eastAsia="宋体" w:cs="Times New Roman"/>
          <w:color w:val="auto"/>
          <w:sz w:val="22"/>
          <w:szCs w:val="22"/>
          <w:lang w:eastAsia="zh-CN"/>
        </w:rPr>
        <w:t>，应留存归档采购、配送等</w:t>
      </w:r>
      <w:r>
        <w:rPr>
          <w:rFonts w:ascii="Calibri" w:hAnsi="Calibri" w:eastAsia="宋体" w:cs="Times New Roman"/>
          <w:color w:val="auto"/>
          <w:sz w:val="22"/>
          <w:szCs w:val="22"/>
          <w:lang w:eastAsia="en-US"/>
        </w:rPr>
        <w:t>有关凭证</w:t>
      </w:r>
      <w:r>
        <w:rPr>
          <w:rFonts w:hint="eastAsia" w:ascii="Calibri" w:hAnsi="Calibri" w:eastAsia="宋体" w:cs="Times New Roman"/>
          <w:color w:val="auto"/>
          <w:sz w:val="22"/>
          <w:szCs w:val="22"/>
          <w:lang w:eastAsia="zh-CN"/>
        </w:rPr>
        <w:t>（产品合格证、质量检测报告等）</w:t>
      </w:r>
      <w:r>
        <w:rPr>
          <w:rFonts w:ascii="Calibri" w:hAnsi="Calibri" w:eastAsia="宋体" w:cs="Times New Roman"/>
          <w:color w:val="auto"/>
          <w:sz w:val="22"/>
          <w:szCs w:val="22"/>
          <w:lang w:eastAsia="en-US"/>
        </w:rPr>
        <w:t>，做到源头可控</w:t>
      </w:r>
      <w:r>
        <w:rPr>
          <w:rFonts w:hint="eastAsia" w:ascii="Calibri" w:hAnsi="Calibri" w:eastAsia="宋体" w:cs="Times New Roman"/>
          <w:color w:val="auto"/>
          <w:sz w:val="22"/>
          <w:szCs w:val="22"/>
          <w:lang w:eastAsia="zh-CN"/>
        </w:rPr>
        <w:t>，</w:t>
      </w:r>
      <w:r>
        <w:rPr>
          <w:rFonts w:ascii="Calibri" w:hAnsi="Calibri" w:eastAsia="宋体" w:cs="Times New Roman"/>
          <w:color w:val="auto"/>
          <w:sz w:val="22"/>
          <w:szCs w:val="22"/>
          <w:lang w:eastAsia="en-US"/>
        </w:rPr>
        <w:t>有据可查</w:t>
      </w:r>
      <w:r>
        <w:rPr>
          <w:rFonts w:hint="eastAsia" w:ascii="Calibri" w:hAnsi="Calibri" w:eastAsia="宋体" w:cs="Times New Roman"/>
          <w:color w:val="auto"/>
          <w:sz w:val="22"/>
          <w:szCs w:val="22"/>
          <w:lang w:eastAsia="zh-CN"/>
        </w:rPr>
        <w:t>；</w:t>
      </w:r>
    </w:p>
    <w:p w14:paraId="68FFF8D5">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jc w:val="left"/>
        <w:textAlignment w:val="auto"/>
        <w:rPr>
          <w:rFonts w:hint="eastAsia" w:ascii="Calibri" w:hAnsi="Calibri" w:eastAsia="宋体" w:cs="Times New Roman"/>
          <w:color w:val="auto"/>
          <w:sz w:val="22"/>
          <w:szCs w:val="22"/>
          <w:lang w:eastAsia="zh-CN"/>
        </w:rPr>
      </w:pPr>
      <w:r>
        <w:rPr>
          <w:rFonts w:hint="eastAsia" w:ascii="Calibri" w:hAnsi="Calibri" w:eastAsia="宋体" w:cs="Times New Roman"/>
          <w:color w:val="auto"/>
          <w:sz w:val="22"/>
          <w:szCs w:val="22"/>
          <w:lang w:val="en-US" w:eastAsia="zh-CN"/>
        </w:rPr>
        <w:t>2、乙方</w:t>
      </w:r>
      <w:r>
        <w:rPr>
          <w:rFonts w:ascii="Calibri" w:hAnsi="Calibri" w:eastAsia="宋体" w:cs="Times New Roman"/>
          <w:color w:val="auto"/>
          <w:sz w:val="22"/>
          <w:szCs w:val="22"/>
        </w:rPr>
        <w:t>应提供</w:t>
      </w:r>
      <w:r>
        <w:rPr>
          <w:rFonts w:hint="eastAsia" w:ascii="Calibri" w:hAnsi="Calibri" w:eastAsia="宋体" w:cs="Times New Roman"/>
          <w:color w:val="auto"/>
          <w:sz w:val="22"/>
          <w:szCs w:val="22"/>
          <w:lang w:eastAsia="zh-CN"/>
        </w:rPr>
        <w:t>每次配送</w:t>
      </w:r>
      <w:r>
        <w:rPr>
          <w:rFonts w:ascii="Calibri" w:hAnsi="Calibri" w:eastAsia="宋体" w:cs="Times New Roman"/>
          <w:color w:val="auto"/>
          <w:sz w:val="22"/>
          <w:szCs w:val="22"/>
        </w:rPr>
        <w:t>食材的检验报告等相关质量证明文件</w:t>
      </w:r>
      <w:r>
        <w:rPr>
          <w:rFonts w:hint="eastAsia" w:ascii="Calibri" w:hAnsi="Calibri" w:eastAsia="宋体" w:cs="Times New Roman"/>
          <w:color w:val="auto"/>
          <w:sz w:val="22"/>
          <w:szCs w:val="22"/>
          <w:lang w:eastAsia="zh-CN"/>
        </w:rPr>
        <w:t>；</w:t>
      </w:r>
    </w:p>
    <w:p w14:paraId="0BB9EB9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Calibri" w:hAnsi="Calibri" w:eastAsia="宋体" w:cs="Times New Roman"/>
          <w:color w:val="auto"/>
          <w:sz w:val="22"/>
          <w:szCs w:val="22"/>
          <w:lang w:eastAsia="zh-CN"/>
        </w:rPr>
      </w:pPr>
      <w:r>
        <w:rPr>
          <w:rFonts w:hint="eastAsia" w:ascii="宋体" w:hAnsi="宋体" w:eastAsia="宋体" w:cs="宋体"/>
          <w:color w:val="auto"/>
          <w:sz w:val="22"/>
          <w:szCs w:val="22"/>
          <w:lang w:val="en-US" w:eastAsia="zh-CN"/>
        </w:rPr>
        <w:t>3、所有食材乙方必须按照学校要求的种类、规格进行供货，保质保量，准时准点配送，满足学校需求。所有食材配送服务均以学校通知为准，</w:t>
      </w:r>
    </w:p>
    <w:p w14:paraId="09C7072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40" w:firstLineChars="200"/>
        <w:textAlignment w:val="auto"/>
        <w:outlineLvl w:val="9"/>
        <w:rPr>
          <w:rFonts w:hint="eastAsia" w:ascii="宋体" w:hAnsi="宋体" w:eastAsia="宋体" w:cs="宋体"/>
          <w:b/>
          <w:bCs/>
          <w:smallCaps w:val="0"/>
          <w:color w:val="auto"/>
          <w:spacing w:val="0"/>
          <w:sz w:val="22"/>
          <w:szCs w:val="22"/>
          <w:highlight w:val="none"/>
          <w:lang w:eastAsia="zh-CN"/>
        </w:rPr>
      </w:pPr>
      <w:r>
        <w:rPr>
          <w:rFonts w:hint="eastAsia" w:ascii="Calibri" w:hAnsi="Calibri" w:eastAsia="宋体" w:cs="Times New Roman"/>
          <w:color w:val="auto"/>
          <w:sz w:val="22"/>
          <w:szCs w:val="22"/>
          <w:lang w:val="en-US" w:eastAsia="zh-CN"/>
        </w:rPr>
        <w:t>4、</w:t>
      </w:r>
      <w:r>
        <w:rPr>
          <w:rFonts w:hint="eastAsia" w:ascii="宋体" w:hAnsi="宋体" w:eastAsia="宋体" w:cs="宋体"/>
          <w:color w:val="auto"/>
          <w:kern w:val="0"/>
          <w:sz w:val="22"/>
          <w:szCs w:val="22"/>
          <w:lang w:val="en-US" w:eastAsia="zh-CN"/>
        </w:rPr>
        <w:t>供应商须接受、配合临渭区各个部门对工作的日常管理与监督，对供应食材的相关资料必须有专人负责保管，严守职业道德，保守项目商业秘密和工作秘密，遵守工作纪律和相关职业规定，不得泄露与学校等相关部门单位、项目相关的任何信息；</w:t>
      </w:r>
    </w:p>
    <w:p w14:paraId="3F0106F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smallCaps w:val="0"/>
          <w:color w:val="auto"/>
          <w:spacing w:val="0"/>
          <w:sz w:val="22"/>
          <w:szCs w:val="22"/>
          <w:highlight w:val="none"/>
          <w:lang w:eastAsia="zh-CN"/>
        </w:rPr>
      </w:pPr>
      <w:r>
        <w:rPr>
          <w:rFonts w:hint="eastAsia" w:ascii="宋体" w:hAnsi="宋体" w:eastAsia="宋体" w:cs="宋体"/>
          <w:smallCaps w:val="0"/>
          <w:color w:val="auto"/>
          <w:spacing w:val="0"/>
          <w:sz w:val="22"/>
          <w:szCs w:val="22"/>
          <w:highlight w:val="none"/>
          <w:lang w:val="en-US" w:eastAsia="zh-CN"/>
        </w:rPr>
        <w:t>5</w:t>
      </w:r>
      <w:r>
        <w:rPr>
          <w:rFonts w:hint="eastAsia" w:ascii="宋体" w:hAnsi="宋体" w:eastAsia="宋体" w:cs="宋体"/>
          <w:smallCaps w:val="0"/>
          <w:color w:val="auto"/>
          <w:spacing w:val="0"/>
          <w:sz w:val="22"/>
          <w:szCs w:val="22"/>
          <w:highlight w:val="none"/>
          <w:lang w:eastAsia="zh-CN"/>
        </w:rPr>
        <w:t>、乙方除按照要求配送货物外，还应向学校提供每批次检验检疫报告及加盖公章的配送清单。</w:t>
      </w:r>
    </w:p>
    <w:p w14:paraId="1E561FC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Calibri" w:hAnsi="Calibri" w:eastAsia="宋体" w:cs="Times New Roman"/>
          <w:color w:val="auto"/>
          <w:sz w:val="22"/>
          <w:szCs w:val="22"/>
          <w:lang w:eastAsia="zh-CN"/>
        </w:rPr>
      </w:pPr>
      <w:r>
        <w:rPr>
          <w:rFonts w:hint="eastAsia" w:ascii="Calibri" w:hAnsi="Calibri" w:eastAsia="宋体" w:cs="Times New Roman"/>
          <w:color w:val="auto"/>
          <w:sz w:val="22"/>
          <w:szCs w:val="22"/>
          <w:lang w:val="en-US" w:eastAsia="zh-CN"/>
        </w:rPr>
        <w:t>6</w:t>
      </w:r>
      <w:r>
        <w:rPr>
          <w:rFonts w:hint="eastAsia" w:ascii="Calibri" w:hAnsi="Calibri" w:eastAsia="宋体" w:cs="Times New Roman"/>
          <w:color w:val="auto"/>
          <w:sz w:val="22"/>
          <w:szCs w:val="22"/>
          <w:lang w:eastAsia="zh-CN"/>
        </w:rPr>
        <w:t>、乙方保证对其出售的货物享有合法的权利。</w:t>
      </w:r>
    </w:p>
    <w:p w14:paraId="4CCB5E0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rPr>
      </w:pPr>
      <w:r>
        <w:rPr>
          <w:rFonts w:hint="eastAsia" w:ascii="宋体" w:hAnsi="宋体" w:eastAsia="宋体" w:cs="宋体"/>
          <w:b w:val="0"/>
          <w:bCs/>
          <w:color w:val="auto"/>
          <w:sz w:val="22"/>
          <w:szCs w:val="22"/>
          <w:lang w:eastAsia="zh-CN"/>
        </w:rPr>
        <w:t>六、</w:t>
      </w:r>
      <w:r>
        <w:rPr>
          <w:rFonts w:hint="eastAsia" w:ascii="宋体" w:hAnsi="宋体" w:eastAsia="宋体" w:cs="宋体"/>
          <w:b w:val="0"/>
          <w:bCs/>
          <w:color w:val="auto"/>
          <w:sz w:val="22"/>
          <w:szCs w:val="22"/>
        </w:rPr>
        <w:t>货物验收</w:t>
      </w:r>
    </w:p>
    <w:p w14:paraId="1C63786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验收：采取现场验收的方式，乙方供应的货物配送到指定地点时，先提交货物供应清单（货物名称、数量、日期）加盖公司红色印章的复印件，由学校相关人员现场验收，并对每批次货物进行留样检验（留样产品不计入结算），验收合格后，共同签署配送单，双方验收人员应认真检查货物的质量，按索票——验证——抽查——入库的程序完成验收，若乙方不按照以上程序完成验收及提供相关票据及清单的，学校有权拒收货物，</w:t>
      </w:r>
      <w:r>
        <w:rPr>
          <w:rFonts w:hint="eastAsia" w:ascii="宋体" w:hAnsi="宋体" w:eastAsia="宋体" w:cs="宋体"/>
          <w:color w:val="auto"/>
          <w:sz w:val="21"/>
          <w:szCs w:val="21"/>
          <w:lang w:val="en-US" w:eastAsia="zh-CN"/>
        </w:rPr>
        <w:t>供应商承担一切责任</w:t>
      </w:r>
      <w:r>
        <w:rPr>
          <w:rFonts w:hint="eastAsia" w:ascii="宋体" w:hAnsi="宋体" w:eastAsia="宋体" w:cs="宋体"/>
          <w:color w:val="auto"/>
          <w:sz w:val="22"/>
          <w:szCs w:val="22"/>
          <w:lang w:val="en-US" w:eastAsia="zh-CN"/>
        </w:rPr>
        <w:t>；乙方所供货物现场验收不合格，该批次产品不得用于“产品采购”，乙方必须立即重新组织货源供应，但不得影响学校使用。</w:t>
      </w:r>
    </w:p>
    <w:p w14:paraId="1B48F5A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2、乙方配送货物时，出现产品质量问题或者超过使用日期的货物，学校有权拒绝接收。</w:t>
      </w:r>
    </w:p>
    <w:p w14:paraId="0FE082E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3、验收依据：</w:t>
      </w:r>
    </w:p>
    <w:p w14:paraId="58C3C7C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（1）合同文本、合同附件、招标文件、投标文件等。</w:t>
      </w:r>
    </w:p>
    <w:p w14:paraId="51B3157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（2）国家标准规范“合格”标准。</w:t>
      </w:r>
    </w:p>
    <w:p w14:paraId="01F8F64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4</w:t>
      </w:r>
      <w:r>
        <w:rPr>
          <w:rFonts w:hint="eastAsia" w:ascii="宋体" w:hAnsi="宋体" w:eastAsia="宋体" w:cs="宋体"/>
          <w:color w:val="auto"/>
          <w:sz w:val="22"/>
          <w:szCs w:val="22"/>
        </w:rPr>
        <w:t>、货物验收时发现问题的处理办法</w:t>
      </w:r>
    </w:p>
    <w:p w14:paraId="2D8DF16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（1）商品数量、克重、次品、包装破损等不合格产品都予以拒收。</w:t>
      </w:r>
    </w:p>
    <w:p w14:paraId="413FA88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（2）乙方不能完整交付商品及单证的，必须负责补齐。否则视为未按合同约定交货。</w:t>
      </w:r>
    </w:p>
    <w:p w14:paraId="316ED85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3</w:t>
      </w:r>
      <w:r>
        <w:rPr>
          <w:rFonts w:hint="eastAsia" w:ascii="宋体" w:hAnsi="宋体" w:eastAsia="宋体" w:cs="宋体"/>
          <w:color w:val="auto"/>
          <w:sz w:val="22"/>
          <w:szCs w:val="22"/>
        </w:rPr>
        <w:t>）</w:t>
      </w:r>
      <w:r>
        <w:rPr>
          <w:rFonts w:hint="eastAsia" w:ascii="宋体" w:hAnsi="宋体" w:eastAsia="宋体" w:cs="宋体"/>
          <w:color w:val="auto"/>
          <w:sz w:val="22"/>
          <w:szCs w:val="22"/>
          <w:highlight w:val="none"/>
        </w:rPr>
        <w:t>因质量问题引起的一切责任事故，均由</w:t>
      </w:r>
      <w:r>
        <w:rPr>
          <w:rFonts w:hint="eastAsia" w:ascii="宋体" w:hAnsi="宋体" w:eastAsia="宋体" w:cs="宋体"/>
          <w:color w:val="auto"/>
          <w:sz w:val="22"/>
          <w:szCs w:val="22"/>
          <w:highlight w:val="none"/>
          <w:lang w:val="en-US" w:eastAsia="zh-CN"/>
        </w:rPr>
        <w:t>乙方</w:t>
      </w:r>
      <w:r>
        <w:rPr>
          <w:rFonts w:hint="eastAsia" w:ascii="宋体" w:hAnsi="宋体" w:eastAsia="宋体" w:cs="宋体"/>
          <w:color w:val="auto"/>
          <w:sz w:val="22"/>
          <w:szCs w:val="22"/>
          <w:highlight w:val="none"/>
        </w:rPr>
        <w:t>全权负责，</w:t>
      </w:r>
      <w:r>
        <w:rPr>
          <w:rFonts w:hint="eastAsia" w:ascii="宋体" w:hAnsi="宋体" w:eastAsia="宋体" w:cs="宋体"/>
          <w:color w:val="auto"/>
          <w:sz w:val="22"/>
          <w:szCs w:val="22"/>
          <w:highlight w:val="none"/>
          <w:lang w:val="en-US" w:eastAsia="zh-CN"/>
        </w:rPr>
        <w:t>甲方</w:t>
      </w:r>
      <w:r>
        <w:rPr>
          <w:rFonts w:hint="eastAsia" w:ascii="宋体" w:hAnsi="宋体" w:eastAsia="宋体" w:cs="宋体"/>
          <w:color w:val="auto"/>
          <w:sz w:val="22"/>
          <w:szCs w:val="22"/>
          <w:highlight w:val="none"/>
        </w:rPr>
        <w:t>及</w:t>
      </w:r>
      <w:r>
        <w:rPr>
          <w:rFonts w:hint="eastAsia" w:ascii="宋体" w:hAnsi="宋体" w:eastAsia="宋体" w:cs="宋体"/>
          <w:color w:val="auto"/>
          <w:sz w:val="22"/>
          <w:szCs w:val="22"/>
          <w:highlight w:val="none"/>
          <w:lang w:eastAsia="zh-CN"/>
        </w:rPr>
        <w:t>学校</w:t>
      </w:r>
      <w:r>
        <w:rPr>
          <w:rFonts w:hint="eastAsia" w:ascii="宋体" w:hAnsi="宋体" w:eastAsia="宋体" w:cs="宋体"/>
          <w:color w:val="auto"/>
          <w:sz w:val="22"/>
          <w:szCs w:val="22"/>
          <w:highlight w:val="none"/>
        </w:rPr>
        <w:t>不承担任何责任。</w:t>
      </w:r>
    </w:p>
    <w:p w14:paraId="1D0A6AA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4</w:t>
      </w:r>
      <w:r>
        <w:rPr>
          <w:rFonts w:hint="eastAsia" w:ascii="宋体" w:hAnsi="宋体" w:eastAsia="宋体" w:cs="宋体"/>
          <w:color w:val="auto"/>
          <w:sz w:val="22"/>
          <w:szCs w:val="22"/>
        </w:rPr>
        <w:t>）产品包装上必须有完好的生产厂家、规格、</w:t>
      </w:r>
      <w:r>
        <w:rPr>
          <w:rFonts w:hint="eastAsia" w:ascii="宋体" w:hAnsi="宋体" w:eastAsia="宋体" w:cs="宋体"/>
          <w:color w:val="auto"/>
          <w:sz w:val="22"/>
          <w:szCs w:val="22"/>
          <w:lang w:val="en-US" w:eastAsia="zh-CN"/>
        </w:rPr>
        <w:t>质保期</w:t>
      </w:r>
      <w:r>
        <w:rPr>
          <w:rFonts w:hint="eastAsia" w:ascii="宋体" w:hAnsi="宋体" w:eastAsia="宋体" w:cs="宋体"/>
          <w:color w:val="auto"/>
          <w:sz w:val="22"/>
          <w:szCs w:val="22"/>
        </w:rPr>
        <w:t>、出厂日期等有效信息，否则将其视为“三无”产品而拒绝接收。</w:t>
      </w:r>
    </w:p>
    <w:p w14:paraId="3C0E899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5</w:t>
      </w: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乙方</w:t>
      </w:r>
      <w:r>
        <w:rPr>
          <w:rFonts w:hint="eastAsia" w:ascii="宋体" w:hAnsi="宋体" w:eastAsia="宋体" w:cs="宋体"/>
          <w:color w:val="auto"/>
          <w:sz w:val="22"/>
          <w:szCs w:val="22"/>
        </w:rPr>
        <w:t>必须按照</w:t>
      </w:r>
      <w:r>
        <w:rPr>
          <w:rFonts w:hint="eastAsia" w:ascii="宋体" w:hAnsi="宋体" w:eastAsia="宋体" w:cs="宋体"/>
          <w:color w:val="auto"/>
          <w:sz w:val="22"/>
          <w:szCs w:val="22"/>
          <w:lang w:val="en-US" w:eastAsia="zh-CN"/>
        </w:rPr>
        <w:t>学校</w:t>
      </w:r>
      <w:r>
        <w:rPr>
          <w:rFonts w:hint="eastAsia" w:ascii="宋体" w:hAnsi="宋体" w:eastAsia="宋体" w:cs="宋体"/>
          <w:color w:val="auto"/>
          <w:sz w:val="22"/>
          <w:szCs w:val="22"/>
        </w:rPr>
        <w:t>人员通知的时间、数量、品种、品质要求准时送货，经验收合格后签字确认，不能以任何理由</w:t>
      </w:r>
      <w:r>
        <w:rPr>
          <w:rFonts w:hint="eastAsia" w:ascii="宋体" w:hAnsi="宋体" w:eastAsia="宋体" w:cs="宋体"/>
          <w:color w:val="auto"/>
          <w:sz w:val="22"/>
          <w:szCs w:val="22"/>
          <w:lang w:eastAsia="zh-CN"/>
        </w:rPr>
        <w:t>推脱</w:t>
      </w:r>
      <w:r>
        <w:rPr>
          <w:rFonts w:hint="eastAsia" w:ascii="宋体" w:hAnsi="宋体" w:eastAsia="宋体" w:cs="宋体"/>
          <w:color w:val="auto"/>
          <w:sz w:val="22"/>
          <w:szCs w:val="22"/>
        </w:rPr>
        <w:t>，一旦影响到学生的正常生活，</w:t>
      </w:r>
      <w:r>
        <w:rPr>
          <w:rFonts w:hint="eastAsia" w:ascii="宋体" w:hAnsi="宋体" w:eastAsia="宋体" w:cs="宋体"/>
          <w:color w:val="auto"/>
          <w:sz w:val="22"/>
          <w:szCs w:val="22"/>
          <w:lang w:val="en-US" w:eastAsia="zh-CN"/>
        </w:rPr>
        <w:t>乙方</w:t>
      </w:r>
      <w:r>
        <w:rPr>
          <w:rFonts w:hint="eastAsia" w:ascii="宋体" w:hAnsi="宋体" w:eastAsia="宋体" w:cs="宋体"/>
          <w:color w:val="auto"/>
          <w:sz w:val="22"/>
          <w:szCs w:val="22"/>
        </w:rPr>
        <w:t>应承担相应的经济赔偿。</w:t>
      </w:r>
    </w:p>
    <w:p w14:paraId="489A085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rPr>
      </w:pPr>
      <w:r>
        <w:rPr>
          <w:rFonts w:hint="eastAsia" w:ascii="宋体" w:hAnsi="宋体" w:eastAsia="宋体" w:cs="宋体"/>
          <w:b w:val="0"/>
          <w:bCs/>
          <w:color w:val="auto"/>
          <w:sz w:val="22"/>
          <w:szCs w:val="22"/>
          <w:lang w:eastAsia="zh-CN"/>
        </w:rPr>
        <w:t>七、</w:t>
      </w:r>
      <w:r>
        <w:rPr>
          <w:rFonts w:hint="eastAsia" w:ascii="宋体" w:hAnsi="宋体" w:eastAsia="宋体" w:cs="宋体"/>
          <w:b w:val="0"/>
          <w:bCs/>
          <w:color w:val="auto"/>
          <w:sz w:val="22"/>
          <w:szCs w:val="22"/>
        </w:rPr>
        <w:t>售后服务</w:t>
      </w:r>
    </w:p>
    <w:p w14:paraId="1FAD5D5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1、乙方所供产品发生质量问题，接到</w:t>
      </w:r>
      <w:r>
        <w:rPr>
          <w:rFonts w:hint="eastAsia" w:ascii="宋体" w:hAnsi="宋体" w:eastAsia="宋体" w:cs="宋体"/>
          <w:color w:val="auto"/>
          <w:sz w:val="22"/>
          <w:szCs w:val="22"/>
          <w:lang w:val="en-US" w:eastAsia="zh-CN"/>
        </w:rPr>
        <w:t>学校</w:t>
      </w:r>
      <w:r>
        <w:rPr>
          <w:rFonts w:hint="eastAsia" w:ascii="宋体" w:hAnsi="宋体" w:eastAsia="宋体" w:cs="宋体"/>
          <w:color w:val="auto"/>
          <w:sz w:val="22"/>
          <w:szCs w:val="22"/>
        </w:rPr>
        <w:t>通知后，应于2小时内立即派出人员到现场进行服务，发生的全部费用由乙方承担；</w:t>
      </w:r>
    </w:p>
    <w:p w14:paraId="6966B34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2</w:t>
      </w:r>
      <w:r>
        <w:rPr>
          <w:rFonts w:hint="eastAsia" w:ascii="宋体" w:hAnsi="宋体" w:eastAsia="宋体" w:cs="宋体"/>
          <w:color w:val="auto"/>
          <w:sz w:val="22"/>
          <w:szCs w:val="22"/>
        </w:rPr>
        <w:t>、乙方应按照国家有关法律法规和“三包”规定以及</w:t>
      </w:r>
      <w:r>
        <w:rPr>
          <w:rFonts w:hint="eastAsia" w:ascii="宋体" w:hAnsi="宋体" w:eastAsia="宋体" w:cs="宋体"/>
          <w:color w:val="auto"/>
          <w:sz w:val="22"/>
          <w:szCs w:val="22"/>
          <w:lang w:val="en-US" w:eastAsia="zh-CN"/>
        </w:rPr>
        <w:t>招标文件</w:t>
      </w:r>
      <w:r>
        <w:rPr>
          <w:rFonts w:hint="eastAsia" w:ascii="宋体" w:hAnsi="宋体" w:eastAsia="宋体" w:cs="宋体"/>
          <w:color w:val="auto"/>
          <w:sz w:val="22"/>
          <w:szCs w:val="22"/>
        </w:rPr>
        <w:t>要求和投标文件的“服务承诺”提供服务。</w:t>
      </w:r>
    </w:p>
    <w:p w14:paraId="73AC34F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lang w:val="en-US" w:eastAsia="zh-CN"/>
        </w:rPr>
      </w:pPr>
      <w:r>
        <w:rPr>
          <w:rFonts w:hint="eastAsia" w:ascii="宋体" w:hAnsi="宋体" w:eastAsia="宋体" w:cs="宋体"/>
          <w:b w:val="0"/>
          <w:bCs/>
          <w:color w:val="auto"/>
          <w:sz w:val="22"/>
          <w:szCs w:val="22"/>
          <w:lang w:eastAsia="zh-CN"/>
        </w:rPr>
        <w:t>八、</w:t>
      </w:r>
      <w:r>
        <w:rPr>
          <w:rFonts w:hint="eastAsia" w:ascii="宋体" w:hAnsi="宋体" w:eastAsia="宋体" w:cs="宋体"/>
          <w:b w:val="0"/>
          <w:bCs/>
          <w:color w:val="auto"/>
          <w:sz w:val="22"/>
          <w:szCs w:val="22"/>
        </w:rPr>
        <w:t>违约责任</w:t>
      </w:r>
    </w:p>
    <w:p w14:paraId="13B28B7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1、按《中华人民共和国民法典》中的相关条款执行。</w:t>
      </w:r>
    </w:p>
    <w:p w14:paraId="7B53C53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2、未按合同要求提供货物或货物质量不能满足合同要求，甲方有权依据《中华人民共和国民法典》有关条款及合同约定终止合同，并要求乙方承担违约责任。</w:t>
      </w:r>
    </w:p>
    <w:p w14:paraId="47CE8FD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在项目实施过程中，乙方负责按时将产品配送到规定配送点，学校将每季度对各供应商进行一次评价，若出现以下问题，甲方有权终止其供货资格：因产品质量问题出现安全事故；违反供货协议；服务态度不符合要求且整改不力。</w:t>
      </w:r>
    </w:p>
    <w:p w14:paraId="59BE15A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4、乙方负责供应产品的质量、卫生安全，不得擅自</w:t>
      </w:r>
      <w:r>
        <w:rPr>
          <w:rFonts w:hint="eastAsia" w:ascii="宋体" w:hAnsi="宋体" w:eastAsia="宋体" w:cs="宋体"/>
          <w:color w:val="auto"/>
          <w:sz w:val="22"/>
          <w:szCs w:val="22"/>
          <w:lang w:val="en-US" w:eastAsia="en-US"/>
        </w:rPr>
        <w:t>更换所供商品的品牌、品种、规格</w:t>
      </w:r>
      <w:r>
        <w:rPr>
          <w:rFonts w:hint="eastAsia" w:ascii="宋体" w:hAnsi="宋体" w:eastAsia="宋体" w:cs="宋体"/>
          <w:color w:val="auto"/>
          <w:sz w:val="22"/>
          <w:szCs w:val="22"/>
          <w:lang w:val="en-US" w:eastAsia="zh-CN"/>
        </w:rPr>
        <w:t>，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乙方负责赔偿因此引发的一切损失，承担由此导致的一切后果（一切损失和后果包括：实物、人力、财力及由此引发的一系列损失和遗留问题）；</w:t>
      </w:r>
    </w:p>
    <w:p w14:paraId="5855392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5、乙方因上述行为或其他违约行为，应承担由此产生的全部损失和法律责任。</w:t>
      </w:r>
    </w:p>
    <w:p w14:paraId="03B7DD7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b w:val="0"/>
          <w:bCs/>
          <w:color w:val="auto"/>
          <w:sz w:val="22"/>
          <w:szCs w:val="22"/>
          <w:highlight w:val="none"/>
        </w:rPr>
      </w:pPr>
      <w:r>
        <w:rPr>
          <w:rFonts w:hint="eastAsia" w:ascii="宋体" w:hAnsi="宋体" w:eastAsia="宋体" w:cs="宋体"/>
          <w:color w:val="auto"/>
          <w:sz w:val="22"/>
          <w:szCs w:val="22"/>
          <w:lang w:val="en-US" w:eastAsia="zh-CN"/>
        </w:rPr>
        <w:t>6、</w:t>
      </w:r>
      <w:r>
        <w:rPr>
          <w:rFonts w:hint="eastAsia" w:ascii="宋体" w:hAnsi="宋体" w:eastAsia="宋体" w:cs="宋体"/>
          <w:b w:val="0"/>
          <w:bCs/>
          <w:color w:val="auto"/>
          <w:sz w:val="22"/>
          <w:szCs w:val="22"/>
          <w:highlight w:val="none"/>
          <w:lang w:val="en-US" w:eastAsia="zh-CN"/>
        </w:rPr>
        <w:t>乙方</w:t>
      </w:r>
      <w:r>
        <w:rPr>
          <w:rFonts w:hint="eastAsia" w:ascii="宋体" w:hAnsi="宋体" w:eastAsia="宋体" w:cs="宋体"/>
          <w:b w:val="0"/>
          <w:bCs/>
          <w:color w:val="auto"/>
          <w:sz w:val="22"/>
          <w:szCs w:val="22"/>
          <w:highlight w:val="none"/>
        </w:rPr>
        <w:t>履约延误</w:t>
      </w:r>
    </w:p>
    <w:p w14:paraId="7930D0E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（1）</w:t>
      </w:r>
      <w:r>
        <w:rPr>
          <w:rFonts w:hint="eastAsia" w:ascii="宋体" w:hAnsi="宋体" w:eastAsia="宋体" w:cs="宋体"/>
          <w:b w:val="0"/>
          <w:bCs w:val="0"/>
          <w:color w:val="auto"/>
          <w:sz w:val="22"/>
          <w:szCs w:val="22"/>
          <w:highlight w:val="none"/>
        </w:rPr>
        <w:t>如</w:t>
      </w:r>
      <w:r>
        <w:rPr>
          <w:rFonts w:hint="eastAsia" w:ascii="宋体" w:hAnsi="宋体" w:eastAsia="宋体" w:cs="宋体"/>
          <w:b w:val="0"/>
          <w:bCs w:val="0"/>
          <w:color w:val="auto"/>
          <w:sz w:val="22"/>
          <w:szCs w:val="22"/>
          <w:highlight w:val="none"/>
          <w:lang w:val="en-US" w:eastAsia="zh-CN"/>
        </w:rPr>
        <w:t>乙方</w:t>
      </w:r>
      <w:r>
        <w:rPr>
          <w:rFonts w:hint="eastAsia" w:ascii="宋体" w:hAnsi="宋体" w:eastAsia="宋体" w:cs="宋体"/>
          <w:b w:val="0"/>
          <w:bCs w:val="0"/>
          <w:color w:val="auto"/>
          <w:sz w:val="22"/>
          <w:szCs w:val="22"/>
          <w:highlight w:val="none"/>
        </w:rPr>
        <w:t>事先未征得</w:t>
      </w:r>
      <w:r>
        <w:rPr>
          <w:rFonts w:hint="eastAsia" w:ascii="宋体" w:hAnsi="宋体" w:eastAsia="宋体" w:cs="宋体"/>
          <w:color w:val="auto"/>
          <w:sz w:val="22"/>
          <w:szCs w:val="22"/>
          <w:highlight w:val="none"/>
          <w:lang w:val="en-US" w:eastAsia="zh-CN"/>
        </w:rPr>
        <w:t>甲</w:t>
      </w:r>
      <w:r>
        <w:rPr>
          <w:rFonts w:hint="eastAsia" w:ascii="宋体" w:hAnsi="宋体" w:eastAsia="宋体" w:cs="宋体"/>
          <w:color w:val="auto"/>
          <w:sz w:val="22"/>
          <w:szCs w:val="22"/>
          <w:highlight w:val="none"/>
        </w:rPr>
        <w:t>方同意并</w:t>
      </w:r>
      <w:r>
        <w:rPr>
          <w:rFonts w:hint="eastAsia" w:ascii="宋体" w:hAnsi="宋体" w:eastAsia="宋体" w:cs="宋体"/>
          <w:color w:val="auto"/>
          <w:sz w:val="22"/>
          <w:szCs w:val="22"/>
          <w:highlight w:val="none"/>
          <w:lang w:eastAsia="zh-CN"/>
        </w:rPr>
        <w:t>未</w:t>
      </w:r>
      <w:r>
        <w:rPr>
          <w:rFonts w:hint="eastAsia" w:ascii="宋体" w:hAnsi="宋体" w:eastAsia="宋体" w:cs="宋体"/>
          <w:color w:val="auto"/>
          <w:sz w:val="22"/>
          <w:szCs w:val="22"/>
          <w:highlight w:val="none"/>
        </w:rPr>
        <w:t>得到</w:t>
      </w:r>
      <w:r>
        <w:rPr>
          <w:rFonts w:hint="eastAsia" w:ascii="宋体" w:hAnsi="宋体" w:eastAsia="宋体" w:cs="宋体"/>
          <w:color w:val="auto"/>
          <w:sz w:val="22"/>
          <w:szCs w:val="22"/>
          <w:highlight w:val="none"/>
          <w:lang w:val="en-US" w:eastAsia="zh-CN"/>
        </w:rPr>
        <w:t>甲方</w:t>
      </w:r>
      <w:r>
        <w:rPr>
          <w:rFonts w:hint="eastAsia" w:ascii="宋体" w:hAnsi="宋体" w:eastAsia="宋体" w:cs="宋体"/>
          <w:color w:val="auto"/>
          <w:sz w:val="22"/>
          <w:szCs w:val="22"/>
          <w:highlight w:val="none"/>
        </w:rPr>
        <w:t>的谅解而单方面延迟交货，累计超过两次</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甲方有权终止合同。</w:t>
      </w:r>
    </w:p>
    <w:p w14:paraId="6380001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（2）在履行合同过程中，如果乙方遇到可能妨碍按时交货和提供服务的情况，应及时以书面形式将拖延的事实、可能拖延的期限和理由通知学校。</w:t>
      </w:r>
    </w:p>
    <w:p w14:paraId="0557BB1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九</w:t>
      </w:r>
      <w:r>
        <w:rPr>
          <w:rFonts w:hint="eastAsia" w:ascii="宋体" w:hAnsi="宋体" w:eastAsia="宋体" w:cs="宋体"/>
          <w:color w:val="auto"/>
          <w:sz w:val="22"/>
          <w:szCs w:val="22"/>
          <w:lang w:val="en-US" w:eastAsia="en-US"/>
        </w:rPr>
        <w:t>、合同终止条款</w:t>
      </w:r>
    </w:p>
    <w:p w14:paraId="346F646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en-US"/>
        </w:rPr>
        <w:t>1、乙方在生产经营活动中出现以下问题，甲方有权提前终止合同。</w:t>
      </w:r>
    </w:p>
    <w:p w14:paraId="294F5B5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（1）</w:t>
      </w:r>
      <w:r>
        <w:rPr>
          <w:rFonts w:hint="eastAsia" w:ascii="宋体" w:hAnsi="宋体" w:eastAsia="宋体" w:cs="宋体"/>
          <w:color w:val="auto"/>
          <w:sz w:val="22"/>
          <w:szCs w:val="22"/>
          <w:lang w:val="en-US" w:eastAsia="en-US"/>
        </w:rPr>
        <w:t>违反食品安全法律法规，被市场监管部门吊销或注销食品经营许可证的；违反相 关法律法规，被登记机关吊销营业执照的。</w:t>
      </w:r>
    </w:p>
    <w:p w14:paraId="34BA94D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（2）</w:t>
      </w:r>
      <w:r>
        <w:rPr>
          <w:rFonts w:hint="eastAsia" w:ascii="宋体" w:hAnsi="宋体" w:eastAsia="宋体" w:cs="宋体"/>
          <w:color w:val="auto"/>
          <w:sz w:val="22"/>
          <w:szCs w:val="22"/>
          <w:lang w:val="en-US" w:eastAsia="en-US"/>
        </w:rPr>
        <w:t>发生重大食品安全事故的。</w:t>
      </w:r>
    </w:p>
    <w:p w14:paraId="71066AC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（3）乙方如违法违规经营，被政府有关部门通报或媒体曝光的、出现严重违反《中华人民共和国食品安全法》行为的或在供货过程中出现无实际配送能力等情况时，甲方有权单方解除本合同。</w:t>
      </w:r>
    </w:p>
    <w:p w14:paraId="79636C8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（4）乙方有哄抬、欺诈价格行为的，甲方有权单方解除合同，并终止乙方的配送资格。</w:t>
      </w:r>
    </w:p>
    <w:p w14:paraId="42D497B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（5）乙方要自觉接受甲方等相关部门检查，若检查中发现有重大食品安全隐患且不予纠正的，甲方有权单方解除合同，并终止乙方的配送资格。</w:t>
      </w:r>
    </w:p>
    <w:p w14:paraId="45259FE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（6）乙方必须自主经营，如发现有其他单位或者个人借用乙方企业准入供应资质或乙方委托他人向学校食堂供货的，一经查实，甲方有权单方终止合同，终止乙方配送资格。</w:t>
      </w:r>
    </w:p>
    <w:p w14:paraId="438C0C2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（7）</w:t>
      </w:r>
      <w:r>
        <w:rPr>
          <w:rFonts w:hint="eastAsia" w:ascii="宋体" w:hAnsi="宋体" w:eastAsia="宋体" w:cs="宋体"/>
          <w:color w:val="auto"/>
          <w:sz w:val="22"/>
          <w:szCs w:val="22"/>
          <w:lang w:val="en-US" w:eastAsia="en-US"/>
        </w:rPr>
        <w:t>在甲方组织的乙方履行合同评估中，评估不合格的。</w:t>
      </w:r>
    </w:p>
    <w:p w14:paraId="050F915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十、其他约定事项</w:t>
      </w:r>
    </w:p>
    <w:p w14:paraId="13779D2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eastAsia="zh-CN"/>
        </w:rPr>
      </w:pPr>
      <w:r>
        <w:rPr>
          <w:rFonts w:hint="eastAsia" w:ascii="宋体" w:hAnsi="宋体" w:eastAsia="宋体" w:cs="宋体"/>
          <w:color w:val="auto"/>
          <w:kern w:val="2"/>
          <w:sz w:val="22"/>
          <w:szCs w:val="22"/>
          <w:lang w:val="en-US" w:eastAsia="zh-CN" w:bidi="ar-SA"/>
        </w:rPr>
        <w:t>（1）</w:t>
      </w:r>
      <w:r>
        <w:rPr>
          <w:rFonts w:hint="eastAsia" w:ascii="宋体" w:hAnsi="宋体" w:eastAsia="宋体" w:cs="宋体"/>
          <w:color w:val="auto"/>
          <w:sz w:val="22"/>
          <w:szCs w:val="22"/>
          <w:lang w:val="en-US" w:eastAsia="zh-CN"/>
        </w:rPr>
        <w:t>如有</w:t>
      </w:r>
      <w:r>
        <w:rPr>
          <w:rFonts w:hint="eastAsia" w:ascii="宋体" w:hAnsi="宋体" w:eastAsia="宋体" w:cs="宋体"/>
          <w:color w:val="auto"/>
          <w:sz w:val="22"/>
          <w:szCs w:val="22"/>
        </w:rPr>
        <w:t>政府政策变化，甲方可提前一个月通知乙方</w:t>
      </w:r>
      <w:r>
        <w:rPr>
          <w:rFonts w:hint="eastAsia" w:ascii="宋体" w:hAnsi="宋体" w:eastAsia="宋体" w:cs="宋体"/>
          <w:color w:val="auto"/>
          <w:sz w:val="22"/>
          <w:szCs w:val="22"/>
          <w:lang w:eastAsia="zh-CN"/>
        </w:rPr>
        <w:t>根据政策调整或终止；</w:t>
      </w:r>
    </w:p>
    <w:p w14:paraId="5E494B4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lang w:val="en-US" w:eastAsia="zh-CN"/>
        </w:rPr>
      </w:pPr>
      <w:r>
        <w:rPr>
          <w:rFonts w:hint="eastAsia" w:ascii="宋体" w:hAnsi="宋体" w:eastAsia="宋体" w:cs="宋体"/>
          <w:b w:val="0"/>
          <w:bCs/>
          <w:color w:val="auto"/>
          <w:kern w:val="2"/>
          <w:sz w:val="22"/>
          <w:szCs w:val="22"/>
          <w:lang w:val="en-US" w:eastAsia="zh-CN" w:bidi="ar-SA"/>
        </w:rPr>
        <w:t>（2）</w:t>
      </w:r>
      <w:r>
        <w:rPr>
          <w:rFonts w:hint="eastAsia" w:ascii="宋体" w:hAnsi="宋体" w:eastAsia="宋体" w:cs="宋体"/>
          <w:color w:val="auto"/>
          <w:sz w:val="22"/>
          <w:szCs w:val="22"/>
          <w:lang w:eastAsia="zh-CN"/>
        </w:rPr>
        <w:t>招标文件</w:t>
      </w:r>
      <w:r>
        <w:rPr>
          <w:rFonts w:hint="eastAsia" w:ascii="宋体" w:hAnsi="宋体" w:eastAsia="宋体" w:cs="宋体"/>
          <w:color w:val="auto"/>
          <w:sz w:val="22"/>
          <w:szCs w:val="22"/>
          <w:lang w:eastAsia="en-US"/>
        </w:rPr>
        <w:t>、</w:t>
      </w:r>
      <w:r>
        <w:rPr>
          <w:rFonts w:hint="eastAsia" w:ascii="宋体" w:hAnsi="宋体" w:eastAsia="宋体" w:cs="宋体"/>
          <w:color w:val="auto"/>
          <w:sz w:val="22"/>
          <w:szCs w:val="22"/>
          <w:lang w:val="en-US" w:eastAsia="zh-CN"/>
        </w:rPr>
        <w:t>投标文件、</w:t>
      </w:r>
      <w:r>
        <w:rPr>
          <w:rFonts w:hint="eastAsia" w:ascii="宋体" w:hAnsi="宋体" w:eastAsia="宋体" w:cs="宋体"/>
          <w:color w:val="auto"/>
          <w:sz w:val="22"/>
          <w:szCs w:val="22"/>
          <w:lang w:eastAsia="en-US"/>
        </w:rPr>
        <w:t>采购结果公告等相关文件是本合同不可分割的组成部分，本合同未尽事宜从其规定。</w:t>
      </w:r>
    </w:p>
    <w:p w14:paraId="403E5AF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rPr>
      </w:pPr>
      <w:r>
        <w:rPr>
          <w:rFonts w:hint="eastAsia" w:ascii="宋体" w:hAnsi="宋体" w:eastAsia="宋体" w:cs="宋体"/>
          <w:b w:val="0"/>
          <w:bCs/>
          <w:color w:val="auto"/>
          <w:sz w:val="22"/>
          <w:szCs w:val="22"/>
        </w:rPr>
        <w:t>十</w:t>
      </w:r>
      <w:r>
        <w:rPr>
          <w:rFonts w:hint="eastAsia" w:ascii="宋体" w:hAnsi="宋体" w:eastAsia="宋体" w:cs="宋体"/>
          <w:b w:val="0"/>
          <w:bCs/>
          <w:color w:val="auto"/>
          <w:sz w:val="22"/>
          <w:szCs w:val="22"/>
          <w:lang w:val="en-US" w:eastAsia="zh-CN"/>
        </w:rPr>
        <w:t>一</w:t>
      </w:r>
      <w:r>
        <w:rPr>
          <w:rFonts w:hint="eastAsia" w:ascii="宋体" w:hAnsi="宋体" w:eastAsia="宋体" w:cs="宋体"/>
          <w:b w:val="0"/>
          <w:bCs/>
          <w:color w:val="auto"/>
          <w:sz w:val="22"/>
          <w:szCs w:val="22"/>
          <w:lang w:eastAsia="zh-CN"/>
        </w:rPr>
        <w:t>、</w:t>
      </w:r>
      <w:r>
        <w:rPr>
          <w:rFonts w:hint="eastAsia" w:ascii="宋体" w:hAnsi="宋体" w:eastAsia="宋体" w:cs="宋体"/>
          <w:b w:val="0"/>
          <w:bCs/>
          <w:color w:val="auto"/>
          <w:sz w:val="22"/>
          <w:szCs w:val="22"/>
        </w:rPr>
        <w:t>争议的解决</w:t>
      </w:r>
    </w:p>
    <w:p w14:paraId="4AB30FE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1、</w:t>
      </w:r>
      <w:r>
        <w:rPr>
          <w:rFonts w:hint="eastAsia" w:ascii="宋体" w:hAnsi="宋体" w:eastAsia="宋体" w:cs="宋体"/>
          <w:color w:val="auto"/>
          <w:sz w:val="22"/>
          <w:szCs w:val="22"/>
        </w:rPr>
        <w:t>因商品的质量问题发生争议，由质量技术监督部门或其指定的质量鉴定机构进行质量鉴定。商品符合标准的，鉴定费用由甲方承担；商品不符合质量标准的，鉴定费用由乙方承担。</w:t>
      </w:r>
    </w:p>
    <w:p w14:paraId="46730B8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2</w:t>
      </w:r>
      <w:r>
        <w:rPr>
          <w:rFonts w:hint="eastAsia" w:ascii="宋体" w:hAnsi="宋体" w:eastAsia="宋体" w:cs="宋体"/>
          <w:color w:val="auto"/>
          <w:sz w:val="22"/>
          <w:szCs w:val="22"/>
        </w:rPr>
        <w:t>、因履行本合同引起的或与本合同有关的争议，甲、乙双方应首先通过友好协商解决，如果协商不成，向</w:t>
      </w:r>
      <w:r>
        <w:rPr>
          <w:rFonts w:hint="eastAsia" w:ascii="宋体" w:hAnsi="宋体" w:eastAsia="宋体" w:cs="宋体"/>
          <w:color w:val="auto"/>
          <w:sz w:val="22"/>
          <w:szCs w:val="22"/>
          <w:lang w:val="en-US" w:eastAsia="zh-CN"/>
        </w:rPr>
        <w:t>有</w:t>
      </w:r>
      <w:r>
        <w:rPr>
          <w:rFonts w:hint="eastAsia" w:ascii="宋体" w:hAnsi="宋体" w:eastAsia="宋体" w:cs="宋体"/>
          <w:color w:val="auto"/>
          <w:sz w:val="22"/>
          <w:szCs w:val="22"/>
        </w:rPr>
        <w:t>管辖权的人民法院提起诉讼；</w:t>
      </w:r>
    </w:p>
    <w:p w14:paraId="22D92A7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rPr>
      </w:pPr>
      <w:r>
        <w:rPr>
          <w:rFonts w:hint="eastAsia" w:ascii="宋体" w:hAnsi="宋体" w:eastAsia="宋体" w:cs="宋体"/>
          <w:b w:val="0"/>
          <w:bCs/>
          <w:color w:val="auto"/>
          <w:sz w:val="22"/>
          <w:szCs w:val="22"/>
        </w:rPr>
        <w:t>十</w:t>
      </w:r>
      <w:r>
        <w:rPr>
          <w:rFonts w:hint="eastAsia" w:ascii="宋体" w:hAnsi="宋体" w:eastAsia="宋体" w:cs="宋体"/>
          <w:b w:val="0"/>
          <w:bCs/>
          <w:color w:val="auto"/>
          <w:sz w:val="22"/>
          <w:szCs w:val="22"/>
          <w:lang w:val="en-US" w:eastAsia="zh-CN"/>
        </w:rPr>
        <w:t>二、</w:t>
      </w:r>
      <w:r>
        <w:rPr>
          <w:rFonts w:hint="eastAsia" w:ascii="宋体" w:hAnsi="宋体" w:eastAsia="宋体" w:cs="宋体"/>
          <w:b w:val="0"/>
          <w:bCs/>
          <w:color w:val="auto"/>
          <w:sz w:val="22"/>
          <w:szCs w:val="22"/>
        </w:rPr>
        <w:t>合同生效及其他</w:t>
      </w:r>
    </w:p>
    <w:p w14:paraId="08795C0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1</w:t>
      </w:r>
      <w:r>
        <w:rPr>
          <w:rFonts w:hint="eastAsia" w:ascii="宋体" w:hAnsi="宋体" w:eastAsia="宋体" w:cs="宋体"/>
          <w:color w:val="auto"/>
          <w:sz w:val="22"/>
          <w:szCs w:val="22"/>
        </w:rPr>
        <w:t>、本合同自签订之日起生效。</w:t>
      </w:r>
    </w:p>
    <w:p w14:paraId="0714DF9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2</w:t>
      </w:r>
      <w:r>
        <w:rPr>
          <w:rFonts w:hint="eastAsia" w:ascii="宋体" w:hAnsi="宋体" w:eastAsia="宋体" w:cs="宋体"/>
          <w:color w:val="auto"/>
          <w:sz w:val="22"/>
          <w:szCs w:val="22"/>
        </w:rPr>
        <w:t>、本合同一式</w:t>
      </w:r>
      <w:r>
        <w:rPr>
          <w:rFonts w:hint="eastAsia" w:ascii="宋体" w:hAnsi="宋体" w:eastAsia="宋体" w:cs="宋体"/>
          <w:b/>
          <w:color w:val="auto"/>
          <w:sz w:val="22"/>
          <w:szCs w:val="22"/>
          <w:u w:val="single"/>
          <w:lang w:val="en-US" w:eastAsia="zh-CN"/>
        </w:rPr>
        <w:t xml:space="preserve"> 5</w:t>
      </w:r>
      <w:r>
        <w:rPr>
          <w:rFonts w:hint="eastAsia" w:ascii="宋体" w:hAnsi="宋体" w:eastAsia="宋体" w:cs="宋体"/>
          <w:color w:val="auto"/>
          <w:sz w:val="22"/>
          <w:szCs w:val="22"/>
        </w:rPr>
        <w:t>份，具有同等法律效力，甲乙双方各执</w:t>
      </w:r>
      <w:r>
        <w:rPr>
          <w:rFonts w:hint="eastAsia" w:ascii="宋体" w:hAnsi="宋体" w:eastAsia="宋体" w:cs="宋体"/>
          <w:b/>
          <w:color w:val="auto"/>
          <w:sz w:val="22"/>
          <w:szCs w:val="22"/>
          <w:u w:val="single"/>
          <w:lang w:val="en-US" w:eastAsia="zh-CN"/>
        </w:rPr>
        <w:t xml:space="preserve"> 2 </w:t>
      </w:r>
      <w:r>
        <w:rPr>
          <w:rFonts w:hint="eastAsia" w:ascii="宋体" w:hAnsi="宋体" w:eastAsia="宋体" w:cs="宋体"/>
          <w:color w:val="auto"/>
          <w:sz w:val="22"/>
          <w:szCs w:val="22"/>
        </w:rPr>
        <w:t>份，</w:t>
      </w:r>
      <w:r>
        <w:rPr>
          <w:rFonts w:hint="eastAsia" w:ascii="宋体" w:hAnsi="宋体" w:eastAsia="宋体" w:cs="宋体"/>
          <w:b/>
          <w:color w:val="auto"/>
          <w:sz w:val="22"/>
          <w:szCs w:val="22"/>
          <w:u w:val="single"/>
          <w:lang w:val="en-US" w:eastAsia="zh-CN"/>
        </w:rPr>
        <w:t>1</w:t>
      </w:r>
      <w:r>
        <w:rPr>
          <w:rFonts w:hint="eastAsia" w:ascii="宋体" w:hAnsi="宋体" w:eastAsia="宋体" w:cs="宋体"/>
          <w:color w:val="auto"/>
          <w:sz w:val="22"/>
          <w:szCs w:val="22"/>
        </w:rPr>
        <w:t>份采购代理机构存档。</w:t>
      </w:r>
    </w:p>
    <w:p w14:paraId="1F4F9BB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baseline"/>
        <w:outlineLvl w:val="9"/>
        <w:rPr>
          <w:rFonts w:hint="eastAsia" w:ascii="宋体" w:hAnsi="宋体" w:eastAsia="宋体" w:cs="宋体"/>
          <w:smallCaps w:val="0"/>
          <w:color w:val="auto"/>
          <w:spacing w:val="0"/>
          <w:sz w:val="22"/>
          <w:szCs w:val="22"/>
          <w:highlight w:val="none"/>
          <w:lang w:eastAsia="zh-CN"/>
        </w:rPr>
      </w:pPr>
      <w:r>
        <w:rPr>
          <w:rFonts w:hint="eastAsia" w:ascii="宋体" w:hAnsi="宋体" w:eastAsia="宋体" w:cs="宋体"/>
          <w:smallCaps w:val="0"/>
          <w:color w:val="auto"/>
          <w:spacing w:val="0"/>
          <w:sz w:val="22"/>
          <w:szCs w:val="22"/>
          <w:highlight w:val="none"/>
          <w:lang w:val="en-US" w:eastAsia="zh-CN"/>
        </w:rPr>
        <w:t>3、</w:t>
      </w:r>
      <w:r>
        <w:rPr>
          <w:rFonts w:hint="eastAsia" w:ascii="宋体" w:hAnsi="宋体" w:eastAsia="宋体" w:cs="宋体"/>
          <w:smallCaps w:val="0"/>
          <w:color w:val="auto"/>
          <w:spacing w:val="0"/>
          <w:sz w:val="22"/>
          <w:szCs w:val="22"/>
          <w:highlight w:val="none"/>
          <w:lang w:eastAsia="zh-CN"/>
        </w:rPr>
        <w:t>本合同如有未尽事宜或在合同履行过程中如有变更，双方可另行签订补充协议，补充协议与本协议具有同等效力。</w:t>
      </w:r>
    </w:p>
    <w:tbl>
      <w:tblPr>
        <w:tblStyle w:val="2"/>
        <w:tblpPr w:leftFromText="180" w:rightFromText="180" w:vertAnchor="text" w:horzAnchor="page" w:tblpX="1442" w:tblpY="347"/>
        <w:tblOverlap w:val="never"/>
        <w:tblW w:w="93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44"/>
        <w:gridCol w:w="4946"/>
      </w:tblGrid>
      <w:tr w14:paraId="2F1F4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444" w:type="dxa"/>
            <w:tcBorders>
              <w:tl2br w:val="nil"/>
              <w:tr2bl w:val="nil"/>
            </w:tcBorders>
            <w:noWrap w:val="0"/>
            <w:vAlign w:val="top"/>
          </w:tcPr>
          <w:p w14:paraId="5D4271C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甲  方(公章)</w:t>
            </w:r>
          </w:p>
        </w:tc>
        <w:tc>
          <w:tcPr>
            <w:tcW w:w="4946" w:type="dxa"/>
            <w:tcBorders>
              <w:tl2br w:val="nil"/>
              <w:tr2bl w:val="nil"/>
            </w:tcBorders>
            <w:noWrap w:val="0"/>
            <w:vAlign w:val="top"/>
          </w:tcPr>
          <w:p w14:paraId="1AD2872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乙  方（公章）</w:t>
            </w:r>
          </w:p>
        </w:tc>
      </w:tr>
      <w:tr w14:paraId="2DC6F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trPr>
        <w:tc>
          <w:tcPr>
            <w:tcW w:w="4444" w:type="dxa"/>
            <w:tcBorders>
              <w:tl2br w:val="nil"/>
              <w:tr2bl w:val="nil"/>
            </w:tcBorders>
            <w:noWrap w:val="0"/>
            <w:vAlign w:val="center"/>
          </w:tcPr>
          <w:p w14:paraId="48EB7B2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甲方</w:t>
            </w:r>
            <w:r>
              <w:rPr>
                <w:rFonts w:hint="eastAsia" w:ascii="宋体" w:hAnsi="宋体" w:eastAsia="宋体" w:cs="宋体"/>
                <w:color w:val="auto"/>
                <w:sz w:val="22"/>
                <w:szCs w:val="22"/>
              </w:rPr>
              <w:t>全称：</w:t>
            </w:r>
          </w:p>
        </w:tc>
        <w:tc>
          <w:tcPr>
            <w:tcW w:w="4946" w:type="dxa"/>
            <w:tcBorders>
              <w:tl2br w:val="nil"/>
              <w:tr2bl w:val="nil"/>
            </w:tcBorders>
            <w:noWrap w:val="0"/>
            <w:vAlign w:val="center"/>
          </w:tcPr>
          <w:p w14:paraId="59CF252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乙方</w:t>
            </w:r>
            <w:r>
              <w:rPr>
                <w:rFonts w:hint="eastAsia" w:ascii="宋体" w:hAnsi="宋体" w:eastAsia="宋体" w:cs="宋体"/>
                <w:color w:val="auto"/>
                <w:sz w:val="22"/>
                <w:szCs w:val="22"/>
              </w:rPr>
              <w:t>全称：</w:t>
            </w:r>
          </w:p>
        </w:tc>
      </w:tr>
      <w:tr w14:paraId="6B030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4444" w:type="dxa"/>
            <w:tcBorders>
              <w:tl2br w:val="nil"/>
              <w:tr2bl w:val="nil"/>
            </w:tcBorders>
            <w:noWrap w:val="0"/>
            <w:vAlign w:val="center"/>
          </w:tcPr>
          <w:p w14:paraId="058F314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eastAsia="zh-CN"/>
              </w:rPr>
              <w:t>地址：</w:t>
            </w:r>
          </w:p>
        </w:tc>
        <w:tc>
          <w:tcPr>
            <w:tcW w:w="4946" w:type="dxa"/>
            <w:tcBorders>
              <w:tl2br w:val="nil"/>
              <w:tr2bl w:val="nil"/>
            </w:tcBorders>
            <w:noWrap w:val="0"/>
            <w:vAlign w:val="center"/>
          </w:tcPr>
          <w:p w14:paraId="2F8C239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 xml:space="preserve">地址： </w:t>
            </w:r>
          </w:p>
        </w:tc>
      </w:tr>
      <w:tr w14:paraId="2C1AD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4444" w:type="dxa"/>
            <w:tcBorders>
              <w:tl2br w:val="nil"/>
              <w:tr2bl w:val="nil"/>
            </w:tcBorders>
            <w:noWrap w:val="0"/>
            <w:vAlign w:val="center"/>
          </w:tcPr>
          <w:p w14:paraId="4ABF659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 xml:space="preserve">法定代表人（签字或盖章）： </w:t>
            </w:r>
          </w:p>
        </w:tc>
        <w:tc>
          <w:tcPr>
            <w:tcW w:w="4946" w:type="dxa"/>
            <w:tcBorders>
              <w:tl2br w:val="nil"/>
              <w:tr2bl w:val="nil"/>
            </w:tcBorders>
            <w:noWrap w:val="0"/>
            <w:vAlign w:val="center"/>
          </w:tcPr>
          <w:p w14:paraId="1F6F836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法定代表人（签字或盖章）：</w:t>
            </w:r>
          </w:p>
        </w:tc>
      </w:tr>
      <w:tr w14:paraId="4F1D7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444" w:type="dxa"/>
            <w:tcBorders>
              <w:tl2br w:val="nil"/>
              <w:tr2bl w:val="nil"/>
            </w:tcBorders>
            <w:noWrap w:val="0"/>
            <w:vAlign w:val="center"/>
          </w:tcPr>
          <w:p w14:paraId="388455B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或</w:t>
            </w:r>
            <w:r>
              <w:rPr>
                <w:rFonts w:hint="eastAsia" w:ascii="宋体" w:hAnsi="宋体" w:eastAsia="宋体" w:cs="宋体"/>
                <w:color w:val="auto"/>
                <w:sz w:val="22"/>
                <w:szCs w:val="22"/>
              </w:rPr>
              <w:t>代理人（签字或盖章）：</w:t>
            </w:r>
          </w:p>
        </w:tc>
        <w:tc>
          <w:tcPr>
            <w:tcW w:w="4946" w:type="dxa"/>
            <w:tcBorders>
              <w:tl2br w:val="nil"/>
              <w:tr2bl w:val="nil"/>
            </w:tcBorders>
            <w:noWrap w:val="0"/>
            <w:vAlign w:val="center"/>
          </w:tcPr>
          <w:p w14:paraId="4CBE671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或</w:t>
            </w:r>
            <w:r>
              <w:rPr>
                <w:rFonts w:hint="eastAsia" w:ascii="宋体" w:hAnsi="宋体" w:eastAsia="宋体" w:cs="宋体"/>
                <w:color w:val="auto"/>
                <w:sz w:val="22"/>
                <w:szCs w:val="22"/>
              </w:rPr>
              <w:t>代理人（签字或盖章）：</w:t>
            </w:r>
          </w:p>
        </w:tc>
      </w:tr>
      <w:tr w14:paraId="73157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trPr>
        <w:tc>
          <w:tcPr>
            <w:tcW w:w="4444" w:type="dxa"/>
            <w:tcBorders>
              <w:tl2br w:val="nil"/>
              <w:tr2bl w:val="nil"/>
            </w:tcBorders>
            <w:noWrap w:val="0"/>
            <w:vAlign w:val="center"/>
          </w:tcPr>
          <w:p w14:paraId="2BA9588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开户银行：</w:t>
            </w:r>
          </w:p>
        </w:tc>
        <w:tc>
          <w:tcPr>
            <w:tcW w:w="4946" w:type="dxa"/>
            <w:tcBorders>
              <w:tl2br w:val="nil"/>
              <w:tr2bl w:val="nil"/>
            </w:tcBorders>
            <w:noWrap w:val="0"/>
            <w:vAlign w:val="center"/>
          </w:tcPr>
          <w:p w14:paraId="0B9E6E8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开户银行：</w:t>
            </w:r>
          </w:p>
        </w:tc>
      </w:tr>
      <w:tr w14:paraId="2D41C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444" w:type="dxa"/>
            <w:tcBorders>
              <w:tl2br w:val="nil"/>
              <w:tr2bl w:val="nil"/>
            </w:tcBorders>
            <w:noWrap w:val="0"/>
            <w:vAlign w:val="center"/>
          </w:tcPr>
          <w:p w14:paraId="0DD8B58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账   号：</w:t>
            </w:r>
          </w:p>
        </w:tc>
        <w:tc>
          <w:tcPr>
            <w:tcW w:w="4946" w:type="dxa"/>
            <w:tcBorders>
              <w:tl2br w:val="nil"/>
              <w:tr2bl w:val="nil"/>
            </w:tcBorders>
            <w:noWrap w:val="0"/>
            <w:vAlign w:val="center"/>
          </w:tcPr>
          <w:p w14:paraId="457C985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账   号：</w:t>
            </w:r>
          </w:p>
        </w:tc>
      </w:tr>
      <w:tr w14:paraId="2E1A2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444" w:type="dxa"/>
            <w:tcBorders>
              <w:tl2br w:val="nil"/>
              <w:tr2bl w:val="nil"/>
            </w:tcBorders>
            <w:noWrap w:val="0"/>
            <w:vAlign w:val="center"/>
          </w:tcPr>
          <w:p w14:paraId="586ED59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联系电话：</w:t>
            </w:r>
          </w:p>
        </w:tc>
        <w:tc>
          <w:tcPr>
            <w:tcW w:w="4946" w:type="dxa"/>
            <w:tcBorders>
              <w:tl2br w:val="nil"/>
              <w:tr2bl w:val="nil"/>
            </w:tcBorders>
            <w:noWrap w:val="0"/>
            <w:vAlign w:val="center"/>
          </w:tcPr>
          <w:p w14:paraId="7D4ADCF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联系电话：</w:t>
            </w:r>
          </w:p>
        </w:tc>
      </w:tr>
      <w:tr w14:paraId="62F38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4444" w:type="dxa"/>
            <w:tcBorders>
              <w:tl2br w:val="nil"/>
              <w:tr2bl w:val="nil"/>
            </w:tcBorders>
            <w:noWrap w:val="0"/>
            <w:vAlign w:val="center"/>
          </w:tcPr>
          <w:p w14:paraId="1C244D6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日期：    年      月      日</w:t>
            </w:r>
          </w:p>
        </w:tc>
        <w:tc>
          <w:tcPr>
            <w:tcW w:w="4946" w:type="dxa"/>
            <w:tcBorders>
              <w:tl2br w:val="nil"/>
              <w:tr2bl w:val="nil"/>
            </w:tcBorders>
            <w:noWrap w:val="0"/>
            <w:vAlign w:val="center"/>
          </w:tcPr>
          <w:p w14:paraId="7E3DB8F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日期：   年     月   日</w:t>
            </w:r>
          </w:p>
        </w:tc>
      </w:tr>
    </w:tbl>
    <w:p w14:paraId="6D622AB4">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jc w:val="both"/>
        <w:rPr>
          <w:rFonts w:hint="eastAsia" w:ascii="宋体" w:hAnsi="宋体" w:eastAsia="宋体" w:cs="宋体"/>
          <w:b/>
          <w:bCs/>
          <w:color w:val="auto"/>
          <w:kern w:val="2"/>
          <w:sz w:val="22"/>
          <w:szCs w:val="22"/>
          <w:lang w:val="en-US" w:eastAsia="zh-CN" w:bidi="ar-SA"/>
        </w:rPr>
      </w:pPr>
    </w:p>
    <w:p w14:paraId="1141F758">
      <w:pPr>
        <w:outlineLvl w:val="9"/>
        <w:rPr>
          <w:rFonts w:hint="eastAsia" w:ascii="宋体" w:hAnsi="宋体" w:eastAsia="宋体" w:cs="宋体"/>
          <w:color w:val="auto"/>
          <w:sz w:val="21"/>
          <w:szCs w:val="21"/>
          <w:lang w:val="en-US" w:eastAsia="zh-Hans"/>
        </w:rPr>
      </w:pPr>
      <w:r>
        <w:rPr>
          <w:rFonts w:hint="eastAsia" w:ascii="宋体" w:hAnsi="宋体" w:eastAsia="宋体" w:cs="宋体"/>
          <w:color w:val="auto"/>
          <w:sz w:val="20"/>
          <w:szCs w:val="20"/>
          <w:lang w:val="en-US" w:eastAsia="zh-Hans"/>
        </w:rPr>
        <w:br w:type="textWrapping"/>
      </w:r>
    </w:p>
    <w:p w14:paraId="3710B27B"/>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70F27">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9A6048">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w:fldChar w:fldCharType="begin"/>
                          </w:r>
                          <w:r>
                            <w:rPr>
                              <w:rFonts w:hint="eastAsia" w:ascii="宋体" w:hAnsi="宋体" w:eastAsia="仿宋" w:cs="宋体"/>
                              <w:kern w:val="0"/>
                              <w:sz w:val="18"/>
                              <w:szCs w:val="18"/>
                              <w:lang w:val="en-US" w:eastAsia="zh-CN" w:bidi="ar-SA"/>
                            </w:rPr>
                            <w:instrText xml:space="preserve"> PAGE  \* MERGEFORMAT </w:instrText>
                          </w:r>
                          <w:r>
                            <w:rPr>
                              <w:rFonts w:hint="eastAsia" w:ascii="宋体" w:hAnsi="宋体" w:eastAsia="仿宋" w:cs="宋体"/>
                              <w:kern w:val="0"/>
                              <w:sz w:val="18"/>
                              <w:szCs w:val="18"/>
                              <w:lang w:val="en-US" w:eastAsia="zh-CN" w:bidi="ar-SA"/>
                            </w:rPr>
                            <w:fldChar w:fldCharType="separate"/>
                          </w:r>
                          <w:r>
                            <w:rPr>
                              <w:rFonts w:hint="eastAsia" w:ascii="宋体" w:hAnsi="宋体" w:eastAsia="仿宋" w:cs="宋体"/>
                              <w:kern w:val="0"/>
                              <w:sz w:val="18"/>
                              <w:szCs w:val="18"/>
                              <w:lang w:val="en-US" w:eastAsia="zh-CN" w:bidi="ar-SA"/>
                            </w:rPr>
                            <w:t>1</w:t>
                          </w:r>
                          <w:r>
                            <w:rPr>
                              <w:rFonts w:hint="eastAsia" w:ascii="宋体" w:hAnsi="宋体" w:eastAsia="仿宋" w:cs="宋体"/>
                              <w:kern w:val="0"/>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579A6048">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w:fldChar w:fldCharType="begin"/>
                    </w:r>
                    <w:r>
                      <w:rPr>
                        <w:rFonts w:hint="eastAsia" w:ascii="宋体" w:hAnsi="宋体" w:eastAsia="仿宋" w:cs="宋体"/>
                        <w:kern w:val="0"/>
                        <w:sz w:val="18"/>
                        <w:szCs w:val="18"/>
                        <w:lang w:val="en-US" w:eastAsia="zh-CN" w:bidi="ar-SA"/>
                      </w:rPr>
                      <w:instrText xml:space="preserve"> PAGE  \* MERGEFORMAT </w:instrText>
                    </w:r>
                    <w:r>
                      <w:rPr>
                        <w:rFonts w:hint="eastAsia" w:ascii="宋体" w:hAnsi="宋体" w:eastAsia="仿宋" w:cs="宋体"/>
                        <w:kern w:val="0"/>
                        <w:sz w:val="18"/>
                        <w:szCs w:val="18"/>
                        <w:lang w:val="en-US" w:eastAsia="zh-CN" w:bidi="ar-SA"/>
                      </w:rPr>
                      <w:fldChar w:fldCharType="separate"/>
                    </w:r>
                    <w:r>
                      <w:rPr>
                        <w:rFonts w:hint="eastAsia" w:ascii="宋体" w:hAnsi="宋体" w:eastAsia="仿宋" w:cs="宋体"/>
                        <w:kern w:val="0"/>
                        <w:sz w:val="18"/>
                        <w:szCs w:val="18"/>
                        <w:lang w:val="en-US" w:eastAsia="zh-CN" w:bidi="ar-SA"/>
                      </w:rPr>
                      <w:t>1</w:t>
                    </w:r>
                    <w:r>
                      <w:rPr>
                        <w:rFonts w:hint="eastAsia" w:ascii="宋体" w:hAnsi="宋体" w:eastAsia="仿宋" w:cs="宋体"/>
                        <w:kern w:val="0"/>
                        <w:sz w:val="18"/>
                        <w:szCs w:val="18"/>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803EC"/>
    <w:rsid w:val="18A80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2025-07-22T14:25:00Z</dcterms:created>
  <dc:creator>试验一下昵称最长可以多少个字符</dc:creator>
  <cp:lastModifiedBy>试验一下昵称最长可以多少个字符</cp:lastModifiedBy>
  <dcterms:modified xsi:type="dcterms:W3CDTF">2025-07-22T14:26:51Z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7F47282D4A794E9892B9372B7B27F809_11</vt:lpwstr>
  </property>
  <property fmtid="{D5CDD505-2E9C-101B-9397-08002B2CF9AE}" pid="4" name="KSOTemplateDocerSaveRecord">
    <vt:lpwstr>eyJoZGlkIjoiMzRlNzcxODliYTIzNDJjYjQ1N2EzMGZmZDA4MmNjYjciLCJ1c2VySWQiOiI1MTgyODA3In0=</vt:lpwstr>
  </property>
</Properties>
</file>