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版本号：ZCSP-临渭区-2025-0015120250802002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ZCSP-临渭区-2025-00151</w:t>
      </w:r>
      <w:r>
        <w:br/>
      </w:r>
      <w:r>
        <w:br/>
      </w:r>
      <w:r>
        <w:br/>
      </w:r>
    </w:p>
    <w:p>
      <w:pPr>
        <w:pStyle w:val="null3"/>
        <w:jc w:val="center"/>
        <w:outlineLvl w:val="2"/>
      </w:pPr>
      <w:r>
        <w:rPr>
          <w:rFonts w:ascii="仿宋_GB2312" w:hAnsi="仿宋_GB2312" w:cs="仿宋_GB2312" w:eastAsia="仿宋_GB2312"/>
          <w:sz w:val="28"/>
          <w:b/>
        </w:rPr>
        <w:t>渭南市临渭区瑞泉中学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渭南市临渭区瑞泉中学</w:t>
      </w:r>
      <w:r>
        <w:rPr>
          <w:rFonts w:ascii="仿宋_GB2312" w:hAnsi="仿宋_GB2312" w:cs="仿宋_GB2312" w:eastAsia="仿宋_GB2312"/>
        </w:rPr>
        <w:t>委托，拟对</w:t>
      </w:r>
      <w:r>
        <w:rPr>
          <w:rFonts w:ascii="仿宋_GB2312" w:hAnsi="仿宋_GB2312" w:cs="仿宋_GB2312" w:eastAsia="仿宋_GB2312"/>
        </w:rPr>
        <w:t>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渭南市瑞泉中学餐厅就餐人数约4000余人，为了进一步提升餐厅管理、饭菜质量及服务水平，给师生提供良好的用餐需求，现对餐厅服务外包项目进行采购。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采购包1（渭南市瑞泉中学餐厅劳务服务项目）：属于专门面向中小企业采购。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渭南市临渭区瑞泉中学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渭南市临渭区城北街东段南侧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15389139033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渭南市临渭区瑞泉中学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渭南市临渭区瑞泉中学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渭南市临渭区瑞泉中学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服务质量达到国家相关法律法规要求、招标文件、投标文件及采购人要求。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渭南市瑞泉中学餐厅劳务服务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渭南市瑞泉中学餐厅劳务服务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标的名称：渭南市瑞泉中学餐厅劳务服务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both"/>
            </w:pPr>
            <w:r>
              <w:rPr>
                <w:rFonts w:ascii="仿宋_GB2312" w:hAnsi="仿宋_GB2312" w:cs="仿宋_GB2312" w:eastAsia="仿宋_GB2312"/>
              </w:rPr>
              <w:t>一、服务技术要求</w:t>
            </w:r>
          </w:p>
          <w:p>
            <w:pPr>
              <w:pStyle w:val="null3"/>
            </w:pPr>
            <w:r>
              <w:rPr>
                <w:rFonts w:ascii="仿宋_GB2312" w:hAnsi="仿宋_GB2312" w:cs="仿宋_GB2312" w:eastAsia="仿宋_GB2312"/>
              </w:rPr>
              <w:t>1.要求总人数不少于58人，其中管理人员不少于4名，负责学生食堂餐饮服务所有管理工作；厨师不少于8人，负责学生食堂餐饮服务所有餐饮制作工作；帮厨人员不少于40人，负责学生食堂餐饮服务所有服务工作，保洁人员不少于6人，负责餐厅所有区域的卫生工作。</w:t>
            </w:r>
          </w:p>
          <w:p>
            <w:pPr>
              <w:pStyle w:val="null3"/>
            </w:pPr>
            <w:r>
              <w:rPr>
                <w:rFonts w:ascii="仿宋_GB2312" w:hAnsi="仿宋_GB2312" w:cs="仿宋_GB2312" w:eastAsia="仿宋_GB2312"/>
              </w:rPr>
              <w:t>2.采购人实施全封闭管理，供应商协助培养学生养成良好的就餐习惯。采购人有权对供应商饭菜质量、操作人员卫生、言行、衣着、食堂内卫生等方面监督检查，发现问题，责令供应商整改。供应商应主动接受甲方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7.根据学校工作安排特点，每日提供“三餐一点”用餐服务，即早点、午餐、晚餐、宵夜；</w:t>
            </w:r>
          </w:p>
          <w:p>
            <w:pPr>
              <w:pStyle w:val="null3"/>
            </w:pPr>
            <w:r>
              <w:rPr>
                <w:rFonts w:ascii="仿宋_GB2312" w:hAnsi="仿宋_GB2312" w:cs="仿宋_GB2312" w:eastAsia="仿宋_GB2312"/>
              </w:rPr>
              <w:t>8.提供师生临时活动的用餐服务；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供应商应按照高中阶段学生营养需求进行合理搭配，并及时更新饭菜品种，具备多样化套餐选择，菜品种类至少包含快餐、盖浇饭、面食、风味小吃、稀饭等，菜品种类不少于30种，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19.供应商所拟派的工作人员，若在服务期间发生任何事故、纠纷等，均由供应商自行处理，采购人概不负责。</w:t>
            </w:r>
          </w:p>
          <w:p>
            <w:pPr>
              <w:pStyle w:val="null3"/>
            </w:pPr>
            <w:r>
              <w:rPr>
                <w:rFonts w:ascii="仿宋_GB2312" w:hAnsi="仿宋_GB2312" w:cs="仿宋_GB2312" w:eastAsia="仿宋_GB2312"/>
              </w:rPr>
              <w:t>20.餐厅劳务员工用餐费用自理，根据学校管理规定按月向学校交纳费用。</w:t>
            </w:r>
          </w:p>
          <w:p>
            <w:pPr>
              <w:pStyle w:val="null3"/>
            </w:pPr>
            <w:r>
              <w:rPr>
                <w:rFonts w:ascii="仿宋_GB2312" w:hAnsi="仿宋_GB2312" w:cs="仿宋_GB2312" w:eastAsia="仿宋_GB2312"/>
              </w:rPr>
              <w:t>21.本项目最高限价及结算方式说明：本项目最高限价为用餐实际刷卡总金额的24%，每月服务费=当月用餐实际刷卡总金额的24%*（1-报价下浮（%））。</w:t>
            </w:r>
          </w:p>
          <w:p>
            <w:pPr>
              <w:pStyle w:val="null3"/>
            </w:pPr>
            <w:r>
              <w:rPr>
                <w:rFonts w:ascii="仿宋_GB2312" w:hAnsi="仿宋_GB2312" w:cs="仿宋_GB2312" w:eastAsia="仿宋_GB2312"/>
              </w:rPr>
              <w:t>注：以上内容为实质性要求，不允许负偏离，若出现负偏离，按无效投标处理。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58人，其中管理人员不少于4名，负责学生食堂餐饮服务所有管理工作；厨师不少于8人，负责学生食堂餐饮服务所有餐饮制作工作；帮厨人员不少于40人，负责学生食堂餐饮服务所有服务工作，保洁人员不少于6人，负责餐厅所有区域的卫生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系统填写的限价216万元为预估劳务服务费用，实际费用需要根据实际招生情况以及餐厅实际刷卡消费金额进行计算，本项目实际的最高限价为：用餐实际刷卡总金额的24%，每月服务费=当月用餐实际刷卡总金额的24%*（1-报价下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渭南市瑞泉中学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服务质量达到国家相关法律法规要求、招标文件、投标文件及采购人要求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供应商在次月按采购人通知开具有效税务发票采购人于收到发票后十个工作日内支付供应商上期承包服务费。每月支付金额=当月实际用餐刷卡总金额的24%*（1-报价下浮(%)）</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 4.双方在执行合同中所发生的一切争议，应通过协商解决。如协商不成，可向采购人所在地法院起诉。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本项目最高限价为用餐实际刷卡金额的24%，（3）纸质版文件要求：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供应商需提供合法有效，具有独立承担民事责任的能力且具备向采购人提供相关服务的证明资料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政府采购供应商拒绝政府采购领域商业贿赂承诺书.docx 投标函 残疾人福利性单位声明函 法定代表人证明书与法定代表人授权书.docx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政府采购供应商拒绝政府采购领域商业贿赂承诺书.docx 投标函 残疾人福利性单位声明函 法定代表人证明书与法定代表人授权书.docx 服务方案 标的清单 供应商资格证明文件.docx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供应商具有近三年（2022年7月至今）的类似项目业绩（以合同签订时间为准）每个计1分，最多计5分。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供应商根据采购人要求组建专业服务团队，针对本项目所配备工作人员齐全、各岗位人数配置合理、团队配合度高、具有专业的餐饮服务工作经，能够完全按要求为采购人提供用餐服务。人员配备要求如下： ①项目团队人员配备在59~62人（含62人）得5分； ②项目团队人员配备在63~66人（含66人）得8分； ③项目团队人员配备在67人及以上得12分； 注：须提供人员身份证、岗位证等相关证明材料复印件加盖单位公章，未提供不计算人数。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供应商针对本项目制定的服务方案，包含①项目需求理解②整体服务模式；③菜谱、膳食品种；④餐食供应保障措施。 评审标准： 1.完整性：服务方案须全面，思路清晰、分析透彻，内容完整、方案科学、合理； 2.可实施性；切合本项目实际情况，步骤明确、可操作性强； 3.针对性：总体方案能够紧扣项目实际情况，专业性强、内容科学、合理。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 供应商针对本项目制定的内部管理制度，包含①人事管理、工作规范；②安全保障、卫生保障；③文明服务；④质量保障。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 供应商针对本项目制定的食品卫生管理方案及保证措施，包含①食品的存储、加工；②餐用具的清洗消毒；③工作人员的个人卫生管理；④食堂消杀措施。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 供应商针对本项目制定的安全管理及应急保障措施，包含①安全用水、用火、用电、用气等及针对突然断水、断电、断气的保障措施；②食物中毒、职工意外伤害的保障措施；③消防疏散的措施；④传染病防疫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 供应商针对本项目制定的设备工具及维护保管措施，包含①提供的设备工具；②各种工具的规范使用；③各种设备工具维护措施；④各种设备工具保管措施。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投标人针对本项目提出合理化建议： 每提出一条有利于本项目实施且具备可行性的合理化建议得1分。本项最高得8分。未提供或提出的建议与本项目无关或无可行性的得0分。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满足招标文件要求且报价最高的报价下浮（%）为投标基准价得15分，其他各投标人的报价下浮（%）得分按下列公式计算： 投标报价得分=（1-投标基准价/1-报价下浮（%））×15%×100。 注：1.报价下浮(%)形式时，供应商的报价%最高的，即为评标基准价。例服务类采购供应商报价为60%，服务价=(1-60%)*最高限价； 2.最高限价=用餐实际刷卡总金额的24%。</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