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版本号：LWQZFCG2025-00920250728002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临渭区学校设施设备提升改造学生课桌椅（普通）采购项目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LWQZFCG2025-009</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临渭区学校设施设备提升改造学生课桌椅（普通）采购项目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LWQZFCG2025-009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临渭区学校设施设备提升改造学生课桌椅（普通）采购项目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为满足学生上课需求，采购学生课桌椅（普通）4000套（其中：可升降1900套，不可升降2100套）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采购包1（学生课桌椅（普通））：属于专门面向中小企业采购。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1、营业执照等证明文件：供应商须提供合法注册的法人或其他组织的营业执照等证明文件。</w:t>
      </w:r>
    </w:p>
    <w:p>
      <w:pPr>
        <w:pStyle w:val="null3"/>
      </w:pPr>
      <w:r>
        <w:rPr>
          <w:rFonts w:ascii="仿宋_GB2312" w:hAnsi="仿宋_GB2312" w:cs="仿宋_GB2312" w:eastAsia="仿宋_GB2312"/>
        </w:rPr>
        <w:t>2、法定代表人授权委托书：供应商应授权合法的人员参加投标全过程，其中法定代表人直接参加投标的，须提供法定代表人身份证明书。法定代表人授权代表参加投标的，须提供法定代表人授权书。</w:t>
      </w:r>
    </w:p>
    <w:p>
      <w:pPr>
        <w:pStyle w:val="null3"/>
      </w:pPr>
      <w:r>
        <w:rPr>
          <w:rFonts w:ascii="仿宋_GB2312" w:hAnsi="仿宋_GB2312" w:cs="仿宋_GB2312" w:eastAsia="仿宋_GB2312"/>
        </w:rPr>
        <w:t>3、税收及社保缴纳证明：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财务审计报告或资信证明：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p>
      <w:pPr>
        <w:pStyle w:val="null3"/>
      </w:pPr>
      <w:r>
        <w:rPr>
          <w:rFonts w:ascii="仿宋_GB2312" w:hAnsi="仿宋_GB2312" w:cs="仿宋_GB2312" w:eastAsia="仿宋_GB2312"/>
        </w:rPr>
        <w:t>5、合同书面声明及承诺：提供具有履行合同所必需的设备和专业技术能力的承诺。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6、参加政府采购活动前三年内在经营活动中没有重大违法记录的书面声明：提供参加政府采购活动前3年内在经营活动中没有重大违法记录的书面声明。</w:t>
      </w:r>
    </w:p>
    <w:p>
      <w:pPr>
        <w:pStyle w:val="null3"/>
      </w:pPr>
      <w:r>
        <w:rPr>
          <w:rFonts w:ascii="仿宋_GB2312" w:hAnsi="仿宋_GB2312" w:cs="仿宋_GB2312" w:eastAsia="仿宋_GB2312"/>
        </w:rPr>
        <w:t>7、信用信息：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p>
      <w:pPr>
        <w:pStyle w:val="null3"/>
      </w:pPr>
      <w:r>
        <w:rPr>
          <w:rFonts w:ascii="仿宋_GB2312" w:hAnsi="仿宋_GB2312" w:cs="仿宋_GB2312" w:eastAsia="仿宋_GB2312"/>
        </w:rPr>
        <w:t>8、无控股、管理关系承诺：单位负责人为同一人或者存在直接控股、管理关系的不同供应商，不得参加同一合同项下的政府采购活动。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渭南市西四路南段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18191927687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渭南市临渭区财政局乐天大街123号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吕洁</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课桌椅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以合同、国家相应的标准、规范等为依据。</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地址：渭南市临渭区财政局乐天大街123号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为满足学生上课需求，采购学生课桌椅（普通）4000套（其中：可升降1900套，不可升降2100套）。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学生课桌椅（普通）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标的名称：学生课桌椅（普通）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0"/>
              <w:gridCol w:w="387"/>
              <w:gridCol w:w="1946"/>
            </w:tblGrid>
            <w:tr>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序号</w:t>
                  </w:r>
                </w:p>
              </w:tc>
              <w:tc>
                <w:tcPr>
                  <w:tcW w:type="dxa" w:w="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参数性质</w:t>
                  </w:r>
                </w:p>
              </w:tc>
              <w:tc>
                <w:tcPr>
                  <w:tcW w:type="dxa" w:w="19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技术参数与性能指标</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单人课桌凳</w:t>
                  </w:r>
                  <w:r>
                    <w:rPr>
                      <w:rFonts w:ascii="仿宋_GB2312" w:hAnsi="仿宋_GB2312" w:cs="仿宋_GB2312" w:eastAsia="仿宋_GB2312"/>
                      <w:sz w:val="24"/>
                    </w:rPr>
                    <w:t>1900套</w:t>
                  </w:r>
                </w:p>
                <w:p>
                  <w:pPr>
                    <w:pStyle w:val="null3"/>
                    <w:jc w:val="both"/>
                  </w:pPr>
                  <w:r>
                    <w:rPr>
                      <w:rFonts w:ascii="仿宋_GB2312" w:hAnsi="仿宋_GB2312" w:cs="仿宋_GB2312" w:eastAsia="仿宋_GB2312"/>
                      <w:sz w:val="24"/>
                    </w:rPr>
                    <w:t>（可升降）</w:t>
                  </w:r>
                </w:p>
              </w:tc>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课桌规格：</w:t>
                  </w:r>
                  <w:r>
                    <w:rPr>
                      <w:rFonts w:ascii="仿宋_GB2312" w:hAnsi="仿宋_GB2312" w:cs="仿宋_GB2312" w:eastAsia="仿宋_GB2312"/>
                      <w:sz w:val="24"/>
                    </w:rPr>
                    <w:t>600*400*760mm，凳子规格：340×240×420mm（高度可调节）</w:t>
                  </w:r>
                </w:p>
                <w:p>
                  <w:pPr>
                    <w:pStyle w:val="null3"/>
                    <w:jc w:val="both"/>
                  </w:pPr>
                  <w:r>
                    <w:rPr>
                      <w:rFonts w:ascii="仿宋_GB2312" w:hAnsi="仿宋_GB2312" w:cs="仿宋_GB2312" w:eastAsia="仿宋_GB2312"/>
                      <w:sz w:val="24"/>
                    </w:rPr>
                    <w:t>1、桌面规格：600*400mm，材质要求：密度板单鸭嘴注塑包边，厚度≥18mm；带笔槽。桌腿采用双立柱的椭圆管，规格 30*60mm，厚度≥1.2mm。地脚管30*60的椭圆管，厚度≥1.2mm，内套管20*50mm的椭圆管，厚度≥1.2mm，单连接管采用30*60mm椭圆管，厚度≥1.2mm,可升降。课桌斗采用≥0.8mm钢板一次成型。</w:t>
                  </w:r>
                </w:p>
                <w:p>
                  <w:pPr>
                    <w:pStyle w:val="null3"/>
                    <w:jc w:val="both"/>
                  </w:pPr>
                  <w:r>
                    <w:rPr>
                      <w:rFonts w:ascii="仿宋_GB2312" w:hAnsi="仿宋_GB2312" w:cs="仿宋_GB2312" w:eastAsia="仿宋_GB2312"/>
                      <w:sz w:val="24"/>
                    </w:rPr>
                    <w:t>2、凳面规格：340*240mm，材质要求：密度板单鸭嘴注塑包边，厚度≥18mm。凳腿采用双立柱的椭圆管，立管、横管、脚步管为20*49mm，厚度≥1.2mm的椭圆形钢管,可升降。</w:t>
                  </w:r>
                </w:p>
                <w:p>
                  <w:pPr>
                    <w:pStyle w:val="null3"/>
                    <w:jc w:val="both"/>
                  </w:pPr>
                  <w:r>
                    <w:rPr>
                      <w:rFonts w:ascii="仿宋_GB2312" w:hAnsi="仿宋_GB2312" w:cs="仿宋_GB2312" w:eastAsia="仿宋_GB2312"/>
                      <w:sz w:val="24"/>
                    </w:rPr>
                    <w:t>3、安装要求：桌面与腿撑连接两头选用5Φ防退透丝固定。升降部分选用8Φ防退透丝固定。脚冒采用环保PP工程塑料，倒钩嵌入式。</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单人课桌凳</w:t>
                  </w:r>
                  <w:r>
                    <w:rPr>
                      <w:rFonts w:ascii="仿宋_GB2312" w:hAnsi="仿宋_GB2312" w:cs="仿宋_GB2312" w:eastAsia="仿宋_GB2312"/>
                      <w:sz w:val="24"/>
                    </w:rPr>
                    <w:t>2100套</w:t>
                  </w:r>
                </w:p>
                <w:p>
                  <w:pPr>
                    <w:pStyle w:val="null3"/>
                    <w:jc w:val="both"/>
                  </w:pPr>
                  <w:r>
                    <w:rPr>
                      <w:rFonts w:ascii="仿宋_GB2312" w:hAnsi="仿宋_GB2312" w:cs="仿宋_GB2312" w:eastAsia="仿宋_GB2312"/>
                      <w:sz w:val="24"/>
                    </w:rPr>
                    <w:t>（不可升降）</w:t>
                  </w:r>
                </w:p>
              </w:tc>
              <w:tc>
                <w:tcPr>
                  <w:tcW w:type="dxa" w:w="19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技术参数：</w:t>
                  </w:r>
                </w:p>
                <w:p>
                  <w:pPr>
                    <w:pStyle w:val="null3"/>
                    <w:jc w:val="both"/>
                  </w:pPr>
                  <w:r>
                    <w:rPr>
                      <w:rFonts w:ascii="仿宋_GB2312" w:hAnsi="仿宋_GB2312" w:cs="仿宋_GB2312" w:eastAsia="仿宋_GB2312"/>
                      <w:sz w:val="24"/>
                    </w:rPr>
                    <w:t>课桌规格：</w:t>
                  </w:r>
                  <w:r>
                    <w:rPr>
                      <w:rFonts w:ascii="仿宋_GB2312" w:hAnsi="仿宋_GB2312" w:cs="仿宋_GB2312" w:eastAsia="仿宋_GB2312"/>
                      <w:sz w:val="24"/>
                    </w:rPr>
                    <w:t>600*400*760mm，凳子规格：340×240×420mm</w:t>
                  </w:r>
                </w:p>
                <w:p>
                  <w:pPr>
                    <w:pStyle w:val="null3"/>
                    <w:jc w:val="both"/>
                  </w:pPr>
                  <w:r>
                    <w:rPr>
                      <w:rFonts w:ascii="仿宋_GB2312" w:hAnsi="仿宋_GB2312" w:cs="仿宋_GB2312" w:eastAsia="仿宋_GB2312"/>
                      <w:sz w:val="24"/>
                    </w:rPr>
                    <w:t>1、桌面规格：600*400mm，材质要求：密度板单鸭嘴注塑包边，厚度≥18mm；带笔槽；桌面周边边圆为孤状；桌斗背后用冷板冲压，自带加强筋，桌斗底板冲凹凸增加桌斗的硬度，达到防滑效果。桌斗两侧冷板冲压小方孔，采用≥0.8 mm冷轧钢板冲压而成无任何接缝。桌斗两侧带≥2个挂钩，挂钩采用≥1.0 mm厚钢材制作，倒角处理。桌腿为双立管，采用30*40mm优质高频方管，厚度≥1.2mm，桌架连接杆采用30mm*20mm高频方管,厚度为≥1.2mm。钢管材质：优质低碳钢管；桌子的桌面与支柱之间焊接成一体。</w:t>
                  </w:r>
                </w:p>
                <w:p>
                  <w:pPr>
                    <w:pStyle w:val="null3"/>
                    <w:jc w:val="both"/>
                  </w:pPr>
                  <w:r>
                    <w:rPr>
                      <w:rFonts w:ascii="仿宋_GB2312" w:hAnsi="仿宋_GB2312" w:cs="仿宋_GB2312" w:eastAsia="仿宋_GB2312"/>
                      <w:sz w:val="24"/>
                    </w:rPr>
                    <w:t>2、凳面规格：340*240mm，材质要求：密度板单鸭嘴注塑包边，厚度≥18mm。，凳面周边边圆为孤状。凳架主管采用30*30mm高频方管，厚度≥1.2mm，凳架拉撑采25*25mm高频方管，厚度≥1.2mm。</w:t>
                  </w:r>
                </w:p>
                <w:p>
                  <w:pPr>
                    <w:pStyle w:val="null3"/>
                    <w:jc w:val="both"/>
                  </w:pPr>
                  <w:r>
                    <w:rPr>
                      <w:rFonts w:ascii="仿宋_GB2312" w:hAnsi="仿宋_GB2312" w:cs="仿宋_GB2312" w:eastAsia="仿宋_GB2312"/>
                      <w:sz w:val="24"/>
                    </w:rPr>
                    <w:t>3.垫脚采用环保PP工程塑料，颜色为湖兰色。</w:t>
                  </w:r>
                </w:p>
                <w:p>
                  <w:pPr>
                    <w:pStyle w:val="null3"/>
                    <w:jc w:val="both"/>
                  </w:pPr>
                  <w:r>
                    <w:rPr>
                      <w:rFonts w:ascii="仿宋_GB2312" w:hAnsi="仿宋_GB2312" w:cs="仿宋_GB2312" w:eastAsia="仿宋_GB2312"/>
                      <w:sz w:val="24"/>
                    </w:rPr>
                    <w:t>注：所投产品技术参数均需满足招标文件要求，不得负偏离。否则视为废标。</w:t>
                  </w:r>
                </w:p>
              </w:tc>
            </w:tr>
          </w:tbl>
          <w:p>
            <w:pPr>
              <w:pStyle w:val="null3"/>
            </w:pPr>
            <w:r>
              <w:rPr>
                <w:rFonts w:ascii="仿宋_GB2312" w:hAnsi="仿宋_GB2312" w:cs="仿宋_GB2312" w:eastAsia="仿宋_GB2312"/>
                <w:sz w:val="24"/>
              </w:rPr>
              <w:t>备注：</w:t>
            </w:r>
          </w:p>
          <w:p>
            <w:pPr>
              <w:pStyle w:val="null3"/>
            </w:pPr>
            <w:r>
              <w:rPr>
                <w:rFonts w:ascii="仿宋_GB2312" w:hAnsi="仿宋_GB2312" w:cs="仿宋_GB2312" w:eastAsia="仿宋_GB2312"/>
                <w:sz w:val="24"/>
              </w:rPr>
              <w:t>1.按采购需求要求提供 1 套样品。</w:t>
            </w:r>
          </w:p>
          <w:p>
            <w:pPr>
              <w:pStyle w:val="null3"/>
            </w:pPr>
            <w:r>
              <w:rPr>
                <w:rFonts w:ascii="仿宋_GB2312" w:hAnsi="仿宋_GB2312" w:cs="仿宋_GB2312" w:eastAsia="仿宋_GB2312"/>
                <w:sz w:val="24"/>
              </w:rPr>
              <w:t>2.提供样品须与所投产品款式、用料、质量一致。</w:t>
            </w:r>
          </w:p>
          <w:p>
            <w:pPr>
              <w:pStyle w:val="null3"/>
            </w:pPr>
            <w:r>
              <w:rPr>
                <w:rFonts w:ascii="仿宋_GB2312" w:hAnsi="仿宋_GB2312" w:cs="仿宋_GB2312" w:eastAsia="仿宋_GB2312"/>
                <w:sz w:val="24"/>
              </w:rPr>
              <w:t>3.不允许提供备选样品。</w:t>
            </w:r>
          </w:p>
          <w:p>
            <w:pPr>
              <w:pStyle w:val="null3"/>
            </w:pPr>
            <w:r>
              <w:rPr>
                <w:rFonts w:ascii="仿宋_GB2312" w:hAnsi="仿宋_GB2312" w:cs="仿宋_GB2312" w:eastAsia="仿宋_GB2312"/>
                <w:sz w:val="24"/>
              </w:rPr>
              <w:t>4.样品要求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1）样品递交时应统一密封装箱、封存完好，箱内装有所有样品的详细清单。</w:t>
            </w:r>
          </w:p>
          <w:p>
            <w:pPr>
              <w:pStyle w:val="null3"/>
            </w:pPr>
            <w:r>
              <w:rPr>
                <w:rFonts w:ascii="仿宋_GB2312" w:hAnsi="仿宋_GB2312" w:cs="仿宋_GB2312" w:eastAsia="仿宋_GB2312"/>
                <w:sz w:val="24"/>
              </w:rPr>
              <w:t>（</w:t>
            </w:r>
            <w:r>
              <w:rPr>
                <w:rFonts w:ascii="仿宋_GB2312" w:hAnsi="仿宋_GB2312" w:cs="仿宋_GB2312" w:eastAsia="仿宋_GB2312"/>
                <w:sz w:val="24"/>
              </w:rPr>
              <w:t>2）箱体内每件样品应注明投标人及样品名称。</w:t>
            </w:r>
          </w:p>
          <w:p>
            <w:pPr>
              <w:pStyle w:val="null3"/>
            </w:pPr>
            <w:r>
              <w:rPr>
                <w:rFonts w:ascii="仿宋_GB2312" w:hAnsi="仿宋_GB2312" w:cs="仿宋_GB2312" w:eastAsia="仿宋_GB2312"/>
                <w:sz w:val="24"/>
              </w:rPr>
              <w:t>（</w:t>
            </w:r>
            <w:r>
              <w:rPr>
                <w:rFonts w:ascii="仿宋_GB2312" w:hAnsi="仿宋_GB2312" w:cs="仿宋_GB2312" w:eastAsia="仿宋_GB2312"/>
                <w:sz w:val="24"/>
              </w:rPr>
              <w:t>3）箱体外包装应注明：投标人、项目名称、项目编号、样品数量。</w:t>
            </w:r>
          </w:p>
          <w:p>
            <w:pPr>
              <w:pStyle w:val="null3"/>
            </w:pPr>
            <w:r>
              <w:rPr>
                <w:rFonts w:ascii="仿宋_GB2312" w:hAnsi="仿宋_GB2312" w:cs="仿宋_GB2312" w:eastAsia="仿宋_GB2312"/>
                <w:sz w:val="24"/>
              </w:rPr>
              <w:t>5.提交样品截止时间：2025 年 8月 20日 09:00</w:t>
            </w:r>
          </w:p>
          <w:p>
            <w:pPr>
              <w:pStyle w:val="null3"/>
            </w:pPr>
            <w:r>
              <w:rPr>
                <w:rFonts w:ascii="仿宋_GB2312" w:hAnsi="仿宋_GB2312" w:cs="仿宋_GB2312" w:eastAsia="仿宋_GB2312"/>
                <w:sz w:val="24"/>
              </w:rPr>
              <w:t>6.样品递交地点：渭南市临渭区财政局七楼评标室。</w:t>
            </w:r>
          </w:p>
          <w:p>
            <w:pPr>
              <w:pStyle w:val="null3"/>
            </w:pPr>
            <w:r>
              <w:rPr>
                <w:rFonts w:ascii="仿宋_GB2312" w:hAnsi="仿宋_GB2312" w:cs="仿宋_GB2312" w:eastAsia="仿宋_GB2312"/>
                <w:sz w:val="24"/>
              </w:rPr>
              <w:t>7.样品退还：评标结束后，由采购人将所有样品统一封存保管。中标公告发布后一周内，未中标人被授权代表携带本公司法人授权委托书及本人身份证自行联系采购人自取，逾期未取，样品不予保留。中标人样品由采购人保存并作为验收的依据，待项目验收合格后退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合同签订之日起10天内完成。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所有货物安装调试并验收合格后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验收合格后一年内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项目实施完毕后，供应商应向采购人提交项目验收报告，申请项目验收，并将项目实施过程中相关资料提交采购人。采购人收到项目验收报告后，组织相关人员进行验收。 验收标准按照国家、行业有关规范和要求执行。供应商承诺完全达到国家有关部门验收标准，并全部通过验收为交付使用的基本条件，验收过程中的一切费用由供应商承担。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 （2）在质量保证期内，如果货物的质量、规格、技术指标等与合同有任何一项不符，买方应尽快以书面形式向卖方提出索赔。同时应向政府采购管理部门报告。 （3）卖方在收到买方的通知后，应及时免费维修或更换有缺陷的货物或部件，并相应延长保修期限。具体响应时限见专用合同条款。 （4）如果卖方在收到通知后，没有在上述专用合同条款中规定的时限内及时弥补缺陷，买方可采取必要的补救措施，但其风险和费用将由卖方承担，买方根据合同规定对卖方行使的其它权力不受影响。 （5）质量保修期：一年。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依据《中华人民共和国合同法》、《中华人民共和国政府采购法》的相关条款规定和本合同约定，成交供应商未全面履行合同义务或者发生违约，采购人有权终止合同，依法向成交供应商进行经济索赔，并报请政府采购监督管理机关依法进行相应的行政处罚。采购人违约的，应当赔偿给成交供应商造成的经济损失。 合同争议的解决：合同执行中发生争议的，当事人双方应协商解决，协商达不成一致时，可向当地行政仲裁机关申请仲裁或者向人民法院提请诉讼。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按照采购需求提供样品各一套。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供应商须提供合法注册的法人或其他组织的营业执照等证明文件。</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供应商应授权合法的人员参加投标全过程，其中法定代表人直接参加投标的，须提供法定代表人身份证明书。法定代表人授权代表参加投标的，须提供法定代表人授权书。</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税收及社保缴纳证明</w:t>
            </w:r>
          </w:p>
        </w:tc>
        <w:tc>
          <w:tcPr>
            <w:tcW w:type="dxa" w:w="3322"/>
          </w:tcPr>
          <w:p>
            <w:pPr>
              <w:pStyle w:val="null3"/>
            </w:pPr>
            <w:r>
              <w:rPr>
                <w:rFonts w:ascii="仿宋_GB2312" w:hAnsi="仿宋_GB2312" w:cs="仿宋_GB2312" w:eastAsia="仿宋_GB2312"/>
              </w:rPr>
              <w:t>提供响应文件递交截止时间前一年内任意一个月的税收缴费凭据；依法免税的应提供相关文件证明；提供响应文件递交截止时间前一年内任意一个月的社保缴费凭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具有财务审计资质单位出具的2024年度财务报告（成立时间至开标时间不足一年的可提供成立后任意时段的资产负债表）或开标前六个月内其基本账户银行出具的资信证明或政府采购信用担保机构出具的担保函。（以上三种形式的资料提供任意一种即可）</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合同书面声明及承诺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禁止参加政府采购活动期间 ； 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投标人应提交的相关资格证明材料1.docx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无控股、管理关系承诺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投标人应提交的相关资格证明材料1.docx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投标函 标的清单 标的清单（分项）.docx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技术指标响应表.docx 投标文件封面 商务应答表.docx 产品技术参数表.docx 商务响应表.docx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报价一览表</w:t>
            </w:r>
          </w:p>
        </w:tc>
        <w:tc>
          <w:tcPr>
            <w:tcW w:type="dxa" w:w="3322"/>
          </w:tcPr>
          <w:p>
            <w:pPr>
              <w:pStyle w:val="null3"/>
            </w:pPr>
            <w:r>
              <w:rPr>
                <w:rFonts w:ascii="仿宋_GB2312" w:hAnsi="仿宋_GB2312" w:cs="仿宋_GB2312" w:eastAsia="仿宋_GB2312"/>
              </w:rPr>
              <w:t>（1）报价符合唯一性要求： （2）报价一览表填写符合要求；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 产品技术参数表.docx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签字、盖章符合文件要求，且无遗漏。</w:t>
            </w:r>
          </w:p>
        </w:tc>
        <w:tc>
          <w:tcPr>
            <w:tcW w:type="dxa" w:w="1661"/>
          </w:tcPr>
          <w:p>
            <w:pPr>
              <w:pStyle w:val="null3"/>
            </w:pPr>
            <w:r>
              <w:rPr>
                <w:rFonts w:ascii="仿宋_GB2312" w:hAnsi="仿宋_GB2312" w:cs="仿宋_GB2312" w:eastAsia="仿宋_GB2312"/>
              </w:rPr>
              <w:t>投标人应提交的相关资格证明材料1.docx 中小企业声明函 供应商承诺书（一）（二）.docx 商务应答表.docx 商务响应表.docx 供应商概况.docx 投标方案说明书.docx 残疾人福利性单位声明函 标的清单 投标文件封面 产品技术参数表.docx 报价表.docx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完全理解并接受法律法规和招标文件对供应商的各项须知、规约要求和责任义务，没有出现法律法规或招标文件明确规定的其他被视为“无效响应”的情形</w:t>
            </w:r>
          </w:p>
        </w:tc>
        <w:tc>
          <w:tcPr>
            <w:tcW w:type="dxa" w:w="1661"/>
          </w:tcPr>
          <w:p>
            <w:pPr>
              <w:pStyle w:val="null3"/>
            </w:pPr>
            <w:r>
              <w:rPr>
                <w:rFonts w:ascii="仿宋_GB2312" w:hAnsi="仿宋_GB2312" w:cs="仿宋_GB2312" w:eastAsia="仿宋_GB2312"/>
              </w:rPr>
              <w:t>无“无效响应”情况声明.docx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所投产品技术参数清楚、明确并能逐条响应招标文件“技术参数表”中参数要求，得12分。负偏离每项扣2分，扣完为止。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技术指标响应表.docx</w:t>
            </w:r>
          </w:p>
        </w:tc>
      </w:tr>
      <w:tr>
        <w:tc>
          <w:tcPr>
            <w:tcW w:type="dxa" w:w="831"/>
            <w:vMerge/>
          </w:tcPr>
          <w:p/>
        </w:tc>
        <w:tc>
          <w:tcPr>
            <w:tcW w:type="dxa" w:w="1661"/>
          </w:tcPr>
          <w:p>
            <w:pPr>
              <w:pStyle w:val="null3"/>
            </w:pPr>
            <w:r>
              <w:rPr>
                <w:rFonts w:ascii="仿宋_GB2312" w:hAnsi="仿宋_GB2312" w:cs="仿宋_GB2312" w:eastAsia="仿宋_GB2312"/>
              </w:rPr>
              <w:t>样品参数</w:t>
            </w:r>
          </w:p>
        </w:tc>
        <w:tc>
          <w:tcPr>
            <w:tcW w:type="dxa" w:w="2492"/>
          </w:tcPr>
          <w:p>
            <w:pPr>
              <w:pStyle w:val="null3"/>
            </w:pPr>
            <w:r>
              <w:rPr>
                <w:rFonts w:ascii="仿宋_GB2312" w:hAnsi="仿宋_GB2312" w:cs="仿宋_GB2312" w:eastAsia="仿宋_GB2312"/>
              </w:rPr>
              <w:t>评审内容：根据提供的样品实际内容包含：①样品的质量（0-2分）②样品的材质（0-2分）③样品的牢固程度(0-2分）④样品的外观与款式（0-2分）。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如投标人为所投产品经销商：提供货物的合法来源渠道证明文件（包括但不限于：产品制造商授权、销售协议、代理协议等证明文件）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评审内容：针对本项目提供完整详细的项目实施方案。内容包含：①项目总实施计划(0-4分)②供货组织安排(0-4分)③安装、调试及验收方案(0-4分)④安装材料、物力调配及保障措施等(0-4分)。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评审内容：根据项目实际需求，提供质量保证方案。内容包含：①产品性能（0-4分）②使用寿命及效果（0-4分）③交货及安装时间（0-4分）④应急处理方案等（0-4分）。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投标人所投产品为“环境标志产品政府采购品目清单”内的，应提供该产品由国家确定的认证机构出具的中国环境标志产品认证证书且处于有效期内。</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 2022 年 6月 1 日以来类似项目业绩（以合同签订日期为准），每份合格业绩合同计 1 分，满分3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评审内容：根据项目实际需求提供售后服务方案。内容包含：①售后服务范围及保障措施（0-3分）②响应时间（0-3分）③响应方式（0-3分）④故障处理及补救措施等（0-3分）。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详见附件：标的清单（分项）.docx</w:t>
      </w:r>
    </w:p>
    <w:p>
      <w:pPr>
        <w:pStyle w:val="null3"/>
        <w:ind w:firstLine="960"/>
      </w:pPr>
      <w:r>
        <w:rPr>
          <w:rFonts w:ascii="仿宋_GB2312" w:hAnsi="仿宋_GB2312" w:cs="仿宋_GB2312" w:eastAsia="仿宋_GB2312"/>
        </w:rPr>
        <w:t>详见附件：技术指标响应表.docx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详见附件：无“无效响应”情况声明.docx</w:t>
      </w:r>
    </w:p>
    <w:p>
      <w:pPr>
        <w:pStyle w:val="null3"/>
        <w:ind w:firstLine="960"/>
      </w:pPr>
      <w:r>
        <w:rPr>
          <w:rFonts w:ascii="仿宋_GB2312" w:hAnsi="仿宋_GB2312" w:cs="仿宋_GB2312" w:eastAsia="仿宋_GB2312"/>
        </w:rPr>
        <w:t>详见附件：投标人应提交的相关资格证明材料1.docx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