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版本号：LWQZFCG2025-00820250728002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临渭区学校设施设备提升改造学生课桌椅（可午休）采购项目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LWQZFCG2025-008</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临渭区学校设施设备提升改造学生课桌椅（可午休）采购项目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LWQZFCG2025-008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临渭区学校设施设备提升改造学生课桌椅（可午休）采购项目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为满足学生上课需求，采购学生课桌椅（可午休）700套。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采购包1（学生课桌椅（可午休））：属于专门面向中小企业采购。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1、营业执照等证明文件：供应商须提供合法注册的法人或其他组织的营业执照等证明文件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2、法定代表人授权委托书：供应商应授权合法的人员参加投标全过程，其中法定代表人直接参加投标的，须提供法定代表人身份证明书。法定代表人授权代表参加投标的，须提供法定代表人授权书。</w:t>
      </w:r>
    </w:p>
    <w:p>
      <w:pPr>
        <w:pStyle w:val="null3"/>
      </w:pPr>
      <w:r>
        <w:rPr>
          <w:rFonts w:ascii="仿宋_GB2312" w:hAnsi="仿宋_GB2312" w:cs="仿宋_GB2312" w:eastAsia="仿宋_GB2312"/>
        </w:rPr>
        <w:t>3、税收及社保缴纳证明：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财务审计报告或资信证明：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5、合同书面声明及承诺：提供具有履行合同所必需的设备和专业技术能力的承诺。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6、参加政府采购活动前三年内在经营活动中没有重大违法记录的书面声明：提供参加政府采购活动前3年内在经营活动中没有重大违法记录的书面声明。</w:t>
      </w:r>
    </w:p>
    <w:p>
      <w:pPr>
        <w:pStyle w:val="null3"/>
      </w:pPr>
      <w:r>
        <w:rPr>
          <w:rFonts w:ascii="仿宋_GB2312" w:hAnsi="仿宋_GB2312" w:cs="仿宋_GB2312" w:eastAsia="仿宋_GB2312"/>
        </w:rPr>
        <w:t>7、信用信息：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p>
      <w:pPr>
        <w:pStyle w:val="null3"/>
      </w:pPr>
      <w:r>
        <w:rPr>
          <w:rFonts w:ascii="仿宋_GB2312" w:hAnsi="仿宋_GB2312" w:cs="仿宋_GB2312" w:eastAsia="仿宋_GB2312"/>
        </w:rPr>
        <w:t>8、无控股、管理关系承诺：单位负责人为同一人或者存在直接控股、管理关系的不同供应商，不得参加同一合同项下的政府采购活动。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18191927687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午休课桌椅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地址：渭南市临渭区财政局乐天大街123号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为满足学生上课需求，采购学生课桌椅（可午休）700套。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学生课桌椅（可午休）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标的名称：学生课桌椅（可午休）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0"/>
              <w:gridCol w:w="387"/>
              <w:gridCol w:w="1946"/>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参数性质</w:t>
                  </w:r>
                </w:p>
              </w:tc>
              <w:tc>
                <w:tcPr>
                  <w:tcW w:type="dxa" w:w="1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技术参数与性能指标</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午休课桌</w:t>
                  </w:r>
                </w:p>
              </w:tc>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午休课桌技术参数：</w:t>
                  </w:r>
                  <w:r>
                    <w:rPr>
                      <w:rFonts w:ascii="仿宋_GB2312" w:hAnsi="仿宋_GB2312" w:cs="仿宋_GB2312" w:eastAsia="仿宋_GB2312"/>
                      <w:sz w:val="24"/>
                    </w:rPr>
                    <w:t>700件</w:t>
                  </w:r>
                </w:p>
                <w:p>
                  <w:pPr>
                    <w:pStyle w:val="null3"/>
                    <w:jc w:val="both"/>
                  </w:pPr>
                  <w:r>
                    <w:rPr>
                      <w:rFonts w:ascii="仿宋_GB2312" w:hAnsi="仿宋_GB2312" w:cs="仿宋_GB2312" w:eastAsia="仿宋_GB2312"/>
                      <w:sz w:val="24"/>
                    </w:rPr>
                    <w:t>1、桌面材质：600mm×400mm×18mmE1级中纤板，采用PP注塑软封边一次成型，桌面正前方设一根文具槽，长230mm，宽度25mm，凹陷10mm，桌面靠胸部位置设有鸭嘴形边缘、防挤压胸腔设计，人性化设计，美观大方，边缘平整圆滑，美观坚固。中密度纤维板符合GB/T 11718-2021、GB 8624-2012、GB 18580-2017、LY/T 2230-2013、GB/T 35601-2017、GB/T 39600-2021、JC/T 2039-2010检测标准。表面平整，无凹凸不平凹槽、裂纹等缺陷；颜色均匀性，无明显色差；无分层、鼓包、或碳化；局部松软单个面积≤2000mm²：≤3个、无局部松软；板件缺损宽度≤10mm:允许无板边缺损、无油污斑点或异物单个面积≤40mm²:≤1个，无压痕；表面经防虫，防腐等化学处理。密度：0.79g/m³；含水率：6%-7.0%；吸水厚度膨胀率（24h）≤3.7%；静曲强度≥45MPa；弹性模量≥4300MPa；内胶合强度≥1.6MPa；表面胶合强度≥2.9MPa；甲醛释放量≤0.01mg/m³；苯含量、甲苯含量、二甲苯含量、总挥发性有机化合物（TVOC）含量均未检出；防火性能：燃烧增长速率指数≤95.6W/s，阻燃等级B1级；600s的总放热量≤10.2MJ；60s内焰尖高度≤85mm；60s内无燃烧滴落物引燃滤纸现象；防霉性能：黑曲霉、出芽短梗霉、球毛壳霉、黄曲霉、桔青霉、绿色木霉、大毛霉防霉等级均为0级；大肠埃希氏菌抗细菌率≥99.99%。</w:t>
                  </w:r>
                </w:p>
                <w:p>
                  <w:pPr>
                    <w:pStyle w:val="null3"/>
                    <w:jc w:val="both"/>
                  </w:pPr>
                  <w:r>
                    <w:rPr>
                      <w:rFonts w:ascii="仿宋_GB2312" w:hAnsi="仿宋_GB2312" w:cs="仿宋_GB2312" w:eastAsia="仿宋_GB2312"/>
                      <w:sz w:val="24"/>
                    </w:rPr>
                    <w:t>2、书斗规格：采用PP塑料一级新料一体射出成型。不得采用回收料生产。内径尺寸范围为465*340*115mm（±5mm），外径尺寸范围为530*380*150mm（±5mm）。书箱靠胸前沿一圈设有不小于8mm粗加强筋，靠内设有一条不低于长390mm高11mm宽15mm的凸筋，增加书箱的坚固性，书箱内部呈微波浪型设计，防止书本笔等文具滑动，书箱沿边增至不小于32mm宽，更便于安装，经测试书箱可达到5000N的承受力，具有抗扭曲，抗潮且兼顾安全等优点。PP桌斗需符合GB 28481-2012《塑料家具中有害物质限量》的标准要求。邻苯酸二甲酯（DBP、BBP、DEHP、DINP、DNOP、DIDP）未检出；重金属：可溶性铅≤2.6mg/kg、可溶性镉≤0.8mg/kg、可溶性铬≤2.2mg/kg、可溶性汞≤0.003mg/kg；多环芳烃：苯并[a]芘≤0.18mg/kg，16种多环芳烃（PAH）总量≤1.1mg/kg。并提供第三方检测报告。</w:t>
                  </w:r>
                </w:p>
                <w:p>
                  <w:pPr>
                    <w:pStyle w:val="null3"/>
                    <w:jc w:val="both"/>
                  </w:pPr>
                  <w:r>
                    <w:rPr>
                      <w:rFonts w:ascii="仿宋_GB2312" w:hAnsi="仿宋_GB2312" w:cs="仿宋_GB2312" w:eastAsia="仿宋_GB2312"/>
                      <w:sz w:val="24"/>
                    </w:rPr>
                    <w:t>3、金属桌架：采用优质冷轧高频焊管，立柱采≥38mmx48mmx1.5mm椭圆管，升降管采≥30mm×40mm×1.5mm椭圆管，桌脚连档采用≥30×40×1.5mm椭圆管，升降管侧面印有丝网高度尺寸，尺寸精度5mm。桌子自由调节高度为630mm-750mm，桌面托起支架采用铁皮一次成型厚度为≥2.0mm。桌面桌斗可整体翻转呈45°倾斜，便于前排学生躺平时不用升起课桌，午睡时操作方便实用。课桌升降结构：此款手摇升降机构。钢管符合GB/T3325-2017、GB/T10125-2021、GB/T 1741-2020、QB/T3827-1999、QB/T3832-1999及《2024年家具及人造板产品抽样检验实施方案》标准。外观性能-金属件：管材无裂缝、叠缝；外露管口端面封闭；喷涂层无漏喷、锈蚀和脱色、掉色现象；涂层光滑均匀、色泽一致，无流挂、疙瘩、皱皮、飞漆等缺陷；防霉性能（黑曲霉）：耐霉菌性等级0级；金属表面镀（涂）层本身耐腐蚀中乙酸盐雾试验（ASS）连续喷雾300H：耐腐蚀等级达10级、对基体保护等级达10级；乙酸盐雾（AASS）24H：外观评级（R）：10级、保护评级（R）：10级。</w:t>
                  </w:r>
                </w:p>
                <w:p>
                  <w:pPr>
                    <w:pStyle w:val="null3"/>
                    <w:jc w:val="both"/>
                  </w:pPr>
                  <w:r>
                    <w:rPr>
                      <w:rFonts w:ascii="仿宋_GB2312" w:hAnsi="仿宋_GB2312" w:cs="仿宋_GB2312" w:eastAsia="仿宋_GB2312"/>
                      <w:sz w:val="24"/>
                    </w:rPr>
                    <w:t>4、喷涂工艺：各钢件经经防锈处理，外层采用聚酯环氧粉末采用静电喷塑，表面涂层有害物质必须符合环保要求，提供家具中有害物质限量认证证书。喷涂颜色与桌面色板色彩搭配协调美观。表面光亮平整、无颗粒渣点、颜色均匀。钢管表面塑粉符合GB 28007-2011《儿童家具通用技术条件》的要求，可迁移元素：可溶性铅≤9.5mg/kg、可溶性镉≤1.4mg/kg、可溶性铬≤1.7mg/kg、可溶性汞≤0.002mg/kg、可溶性锑≤0.006mg/kg、可溶性砷≤0.0007mg/kg、可溶性硒≤0.01mg/kg。并提供第三方检测报告。</w:t>
                  </w:r>
                </w:p>
                <w:p>
                  <w:pPr>
                    <w:pStyle w:val="null3"/>
                    <w:jc w:val="both"/>
                  </w:pPr>
                  <w:r>
                    <w:rPr>
                      <w:rFonts w:ascii="仿宋_GB2312" w:hAnsi="仿宋_GB2312" w:cs="仿宋_GB2312" w:eastAsia="仿宋_GB2312"/>
                      <w:sz w:val="24"/>
                    </w:rPr>
                    <w:t>5、脚套：前脚套尺寸≥135*47.5*81.5mm后脚套尺寸≥62*47*53.5,采用PP塑料一体注塑成型脚套；脚套底部有防滑防刮软垫，增大摩擦力，减小因脚套摩擦带来的噪音。PP材料符合GB 28481-2012《塑料家具中有害物质限量》、HJ 2547-2016《环境标志产品技术要求 家具》的标准要求。塑料家具中邻苯二甲酸酯（DBP、BBP、DEHP、DNOP、DINP、DIDP）：未检出；有害物质限量（重金属）：可溶性铅、可溶性镉、可溶性铬、可溶性汞均未检出。</w:t>
                  </w:r>
                </w:p>
                <w:p>
                  <w:pPr>
                    <w:pStyle w:val="null3"/>
                    <w:jc w:val="both"/>
                  </w:pPr>
                  <w:r>
                    <w:rPr>
                      <w:rFonts w:ascii="仿宋_GB2312" w:hAnsi="仿宋_GB2312" w:cs="仿宋_GB2312" w:eastAsia="仿宋_GB2312"/>
                      <w:sz w:val="24"/>
                    </w:rPr>
                    <w:t>6、课桌功能特点：桌斗桌面可呈45度翻转，待学生午休时，学生仅需提拉翻转器，桌面桌斗即可完成45度翻转，翻转后与椅子靠背呈同角度倾斜，为学生午休时腾出更多的空间，同时也解决了老旧教室过小，满足不了每人可午休的现状。整个操作过程简单明了，无论低年段还是高年段都能达到一学即会的效果，大大提高了午休的效率和便捷性。</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午休课椅</w:t>
                  </w:r>
                </w:p>
              </w:tc>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午休课椅技术参数：</w:t>
                  </w:r>
                  <w:r>
                    <w:rPr>
                      <w:rFonts w:ascii="仿宋_GB2312" w:hAnsi="仿宋_GB2312" w:cs="仿宋_GB2312" w:eastAsia="仿宋_GB2312"/>
                      <w:sz w:val="24"/>
                    </w:rPr>
                    <w:t>700件</w:t>
                  </w:r>
                </w:p>
                <w:p>
                  <w:pPr>
                    <w:pStyle w:val="null3"/>
                    <w:jc w:val="both"/>
                  </w:pPr>
                  <w:r>
                    <w:rPr>
                      <w:rFonts w:ascii="仿宋_GB2312" w:hAnsi="仿宋_GB2312" w:cs="仿宋_GB2312" w:eastAsia="仿宋_GB2312"/>
                      <w:sz w:val="24"/>
                    </w:rPr>
                    <w:t>1、座椅尺寸：不小于410*535mm，坐高范围380-440mm（坐高可调，手摇无极升降，使用专用调节工具手摇柄插）。</w:t>
                  </w:r>
                </w:p>
                <w:p>
                  <w:pPr>
                    <w:pStyle w:val="null3"/>
                    <w:jc w:val="both"/>
                  </w:pPr>
                  <w:r>
                    <w:rPr>
                      <w:rFonts w:ascii="仿宋_GB2312" w:hAnsi="仿宋_GB2312" w:cs="仿宋_GB2312" w:eastAsia="仿宋_GB2312"/>
                      <w:sz w:val="24"/>
                    </w:rPr>
                    <w:t>2、座椅靠背尺寸范围为：高385×宽455（±2）mm；采用符合国家标准的PP耐冲击一级新料一体射出成型，耐冲击，耐抗压，耐磨；头枕可活动拉伸不小于140mm，能有效的调整学生身高差距具有合适靠枕位置。靠背壁厚不小于4mm，靠背设计有完整的曲线弧度，能很服帖地包覆支撑着正在成长中学童的背部脊椎，使其免于侧弯；PP座靠板符合GB 28481-2012《塑料家具中有害物质限量》的要求。邻苯二甲酸酯，未检出；重金属含量：可溶性铅≤1.4mg/kg、可溶性镉≤0.8mg/kg、可溶性铬≤1.8mg/kg、可溶性汞≤0.003mg/kg；多环芳烃：苯并[a]芘≤0.2mg/kg、16种多环芳烃（PAH）总量≤1.1mg/kg。并提供第三方检测报告。</w:t>
                  </w:r>
                </w:p>
                <w:p>
                  <w:pPr>
                    <w:pStyle w:val="null3"/>
                    <w:jc w:val="both"/>
                  </w:pPr>
                  <w:r>
                    <w:rPr>
                      <w:rFonts w:ascii="仿宋_GB2312" w:hAnsi="仿宋_GB2312" w:cs="仿宋_GB2312" w:eastAsia="仿宋_GB2312"/>
                      <w:sz w:val="24"/>
                    </w:rPr>
                    <w:t>3.坐垫尺寸范围：宽410×深420（±2）mm；采用符合国家标准的PP耐冲击一级新料一体射出成型，耐冲击，耐抗压，耐磨；坐板后端采用环保PP一次注塑成型后盖，防止气杆伸缩时夹手；</w:t>
                  </w:r>
                </w:p>
                <w:p>
                  <w:pPr>
                    <w:pStyle w:val="null3"/>
                    <w:jc w:val="both"/>
                  </w:pPr>
                  <w:r>
                    <w:rPr>
                      <w:rFonts w:ascii="仿宋_GB2312" w:hAnsi="仿宋_GB2312" w:cs="仿宋_GB2312" w:eastAsia="仿宋_GB2312"/>
                      <w:sz w:val="24"/>
                    </w:rPr>
                    <w:t>4.腿托板尺寸范围：300×200（±2）mm；采用符合国家标准的PP耐冲击一级新料一体射出成型，耐冲击，耐抗压，耐磨；腿托板壁厚不小于4mm且可翻转，午睡躺平的时候可拉伸出来通过翻转即可托起腿部不滑落，学习端坐的时候可收缩放置，收放自如，腿拖下方设置钢制托架可增强腿托板的强度。</w:t>
                  </w:r>
                </w:p>
                <w:p>
                  <w:pPr>
                    <w:pStyle w:val="null3"/>
                    <w:jc w:val="both"/>
                  </w:pPr>
                  <w:r>
                    <w:rPr>
                      <w:rFonts w:ascii="仿宋_GB2312" w:hAnsi="仿宋_GB2312" w:cs="仿宋_GB2312" w:eastAsia="仿宋_GB2312"/>
                      <w:sz w:val="24"/>
                    </w:rPr>
                    <w:t>5.金属桌架采用优质冷轧高频焊管，地脚管采用≥38mm×48mm×1.5mm椭圆管，立柱采用≥38mmx48mmx1.5mm椭圆管，升降管采用≥30mm×40mm×1.5mm椭圆管，桌脚连档采用≥30×40×1.5mm椭圆管，升降管侧面印有丝网高度尺寸。靠背管采用≥22mm×32mm×1.8mm椭圆管焊接而成，腿托管采用不小于φ16*2mm圆管，采用特级电镀，嵌入坐板支撑钢管内伸缩，可伸缩长度不小于250mm，美观且躺坐舒适；课椅钢架需符合QB/T 4071-2021《课桌椅》的标准要求。可迁移元素含量：锑Sb≤0.006mg/kg、砷As≤0.0008mg/kg、钡Ba≤18.7mg/kg、镉Cd≤2.0mg/kg、铬Cr≤0.8mg/kg、铅Pb≤9.2mg/kg、汞Hg≤0.002mg/kg、硒Se≤0.01mg/kg；抗盐雾24h无锈蚀现象。钢管表面粉末涂料符合GB 18581-2020《木器涂料中有害物质限量》、HG/T 2006-2022《热固性和热塑性粉末涂料》的标准要求。铅笔硬度（内聚破坏中擦伤）≥4H；光泽/单位值≤7；总铅（Pb）含量≤12mg/kg；可溶性重金属含量：镉（cd）、铬（Cr）：未检出，汞（Hg）≤0.002mg/kg。</w:t>
                  </w:r>
                </w:p>
                <w:p>
                  <w:pPr>
                    <w:pStyle w:val="null3"/>
                    <w:jc w:val="both"/>
                  </w:pPr>
                  <w:r>
                    <w:rPr>
                      <w:rFonts w:ascii="仿宋_GB2312" w:hAnsi="仿宋_GB2312" w:cs="仿宋_GB2312" w:eastAsia="仿宋_GB2312"/>
                      <w:sz w:val="24"/>
                    </w:rPr>
                    <w:t>6.课椅结构功能：高度升降采用手摇升降（无级升级，椅子自由调节高度为360mm-440mm，此范围内任何高度都可调），想躺下时提动座板下开关，靠背可达成98°-150°范围内任意角度转动，操作方便。提供样品课桌椅一套，现场演示。</w:t>
                  </w:r>
                </w:p>
                <w:p>
                  <w:pPr>
                    <w:pStyle w:val="null3"/>
                    <w:jc w:val="both"/>
                  </w:pPr>
                  <w:r>
                    <w:rPr>
                      <w:rFonts w:ascii="仿宋_GB2312" w:hAnsi="仿宋_GB2312" w:cs="仿宋_GB2312" w:eastAsia="仿宋_GB2312"/>
                      <w:sz w:val="24"/>
                    </w:rPr>
                    <w:t>7、质量要求：为确保午休课桌椅质量，对课桌椅木制件和木质件漆膜外观、金属件外观（管材、焊接件、冲压件、喷涂层）、塑料件外观、木工要求、主要尺寸和尺寸偏差（中小学用课桌椅尺寸）、形状与位置公差（翘曲度、平整度、邻边垂直度、底脚平稳性）、安全要求、力学性能-课桌（桌面垂直静载荷、桌面垂直耐久性、桌面垂直冲击、桌腿跌落、桌面水平静载荷）、力学性能-课椅（椅子向前倾翻、椅子侧向倾翻、椅子向后倾翻、座面椅背联合静载荷、座面侧向静载荷、椅腿向前静载荷、椅腿侧向静载荷、座面冲击、椅背冲击、椅腿跌落、枕靠侧向静载荷）、表面理化性能（软硬质覆面耐冷热循环、耐干热、耐液性、表面耐磨性、抗冲击性、耐光色牢度、桌面耐污染、表面胶合强度）进行检测。产品整体需符合QB/T 4071-2021《课桌椅》的标准要求，提供生产厂家带CMA标识的产品检测报告。</w:t>
                  </w:r>
                </w:p>
              </w:tc>
            </w:tr>
          </w:tbl>
          <w:p>
            <w:pPr>
              <w:pStyle w:val="null3"/>
            </w:pPr>
            <w:r>
              <w:rPr>
                <w:rFonts w:ascii="仿宋_GB2312" w:hAnsi="仿宋_GB2312" w:cs="仿宋_GB2312" w:eastAsia="仿宋_GB2312"/>
                <w:sz w:val="24"/>
              </w:rPr>
              <w:t>备注：</w:t>
            </w:r>
          </w:p>
          <w:p>
            <w:pPr>
              <w:pStyle w:val="null3"/>
            </w:pPr>
            <w:r>
              <w:rPr>
                <w:rFonts w:ascii="仿宋_GB2312" w:hAnsi="仿宋_GB2312" w:cs="仿宋_GB2312" w:eastAsia="仿宋_GB2312"/>
                <w:sz w:val="24"/>
              </w:rPr>
              <w:t>1.按采购需求要求提供 1 套样品。</w:t>
            </w:r>
          </w:p>
          <w:p>
            <w:pPr>
              <w:pStyle w:val="null3"/>
            </w:pPr>
            <w:r>
              <w:rPr>
                <w:rFonts w:ascii="仿宋_GB2312" w:hAnsi="仿宋_GB2312" w:cs="仿宋_GB2312" w:eastAsia="仿宋_GB2312"/>
                <w:sz w:val="24"/>
              </w:rPr>
              <w:t>2.提供样品须与所投产品款式、用料、质量一致。</w:t>
            </w:r>
          </w:p>
          <w:p>
            <w:pPr>
              <w:pStyle w:val="null3"/>
            </w:pPr>
            <w:r>
              <w:rPr>
                <w:rFonts w:ascii="仿宋_GB2312" w:hAnsi="仿宋_GB2312" w:cs="仿宋_GB2312" w:eastAsia="仿宋_GB2312"/>
                <w:sz w:val="24"/>
              </w:rPr>
              <w:t>3.不允许提供备选样品。</w:t>
            </w:r>
          </w:p>
          <w:p>
            <w:pPr>
              <w:pStyle w:val="null3"/>
            </w:pPr>
            <w:r>
              <w:rPr>
                <w:rFonts w:ascii="仿宋_GB2312" w:hAnsi="仿宋_GB2312" w:cs="仿宋_GB2312" w:eastAsia="仿宋_GB2312"/>
                <w:sz w:val="24"/>
              </w:rPr>
              <w:t>4.样品要求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1）样品递交时应统一密封装箱、封存完好，箱内装有所有样品的详细清单。</w:t>
            </w:r>
          </w:p>
          <w:p>
            <w:pPr>
              <w:pStyle w:val="null3"/>
            </w:pPr>
            <w:r>
              <w:rPr>
                <w:rFonts w:ascii="仿宋_GB2312" w:hAnsi="仿宋_GB2312" w:cs="仿宋_GB2312" w:eastAsia="仿宋_GB2312"/>
                <w:sz w:val="24"/>
              </w:rPr>
              <w:t>（</w:t>
            </w:r>
            <w:r>
              <w:rPr>
                <w:rFonts w:ascii="仿宋_GB2312" w:hAnsi="仿宋_GB2312" w:cs="仿宋_GB2312" w:eastAsia="仿宋_GB2312"/>
                <w:sz w:val="24"/>
              </w:rPr>
              <w:t>2）箱体内每件样品应注明投标人及样品名称。</w:t>
            </w:r>
          </w:p>
          <w:p>
            <w:pPr>
              <w:pStyle w:val="null3"/>
            </w:pPr>
            <w:r>
              <w:rPr>
                <w:rFonts w:ascii="仿宋_GB2312" w:hAnsi="仿宋_GB2312" w:cs="仿宋_GB2312" w:eastAsia="仿宋_GB2312"/>
                <w:sz w:val="24"/>
              </w:rPr>
              <w:t>（</w:t>
            </w:r>
            <w:r>
              <w:rPr>
                <w:rFonts w:ascii="仿宋_GB2312" w:hAnsi="仿宋_GB2312" w:cs="仿宋_GB2312" w:eastAsia="仿宋_GB2312"/>
                <w:sz w:val="24"/>
              </w:rPr>
              <w:t>3）箱体外包装应注明：投标人、项目名称、项目编号、样品数量。</w:t>
            </w:r>
          </w:p>
          <w:p>
            <w:pPr>
              <w:pStyle w:val="null3"/>
            </w:pPr>
            <w:r>
              <w:rPr>
                <w:rFonts w:ascii="仿宋_GB2312" w:hAnsi="仿宋_GB2312" w:cs="仿宋_GB2312" w:eastAsia="仿宋_GB2312"/>
                <w:sz w:val="24"/>
              </w:rPr>
              <w:t>5.提交样品截止时间：2025 年 8月 19 日 09:00</w:t>
            </w:r>
          </w:p>
          <w:p>
            <w:pPr>
              <w:pStyle w:val="null3"/>
            </w:pPr>
            <w:r>
              <w:rPr>
                <w:rFonts w:ascii="仿宋_GB2312" w:hAnsi="仿宋_GB2312" w:cs="仿宋_GB2312" w:eastAsia="仿宋_GB2312"/>
                <w:sz w:val="24"/>
              </w:rPr>
              <w:t>6.样品递交地点：渭南市临渭区财政局七楼评标室。</w:t>
            </w:r>
          </w:p>
          <w:p>
            <w:pPr>
              <w:pStyle w:val="null3"/>
            </w:pPr>
            <w:r>
              <w:rPr>
                <w:rFonts w:ascii="仿宋_GB2312" w:hAnsi="仿宋_GB2312" w:cs="仿宋_GB2312" w:eastAsia="仿宋_GB2312"/>
                <w:sz w:val="24"/>
              </w:rPr>
              <w:t>7.样品退还：评标结束后，由采购人将所有样品统一封存保管。中标公告发布后一周内，未中标人被授权代表携带本公司法人授权委托书及本人身份证自行联系采购人自取，逾期未取，样品不予保留。中标人样品由采购人保存并作为验收的依据，待项目验收合格后退还。</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验收合格后一年内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（1）货物到货后，由采购人根据合同规定的技术、服务、安全标准要求进行验收，并出具验收书。 （2）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 （3）检验和验收可以在供应商或货物制造厂的所在地、交货地点和/或货物的最终目的地进行。如果在供应商或货物制造厂的所在地进行，供应商应免费为采购人的检验或验收人员提供工作条件，包括但不限于必要的技术资料、检测工具和仪器。 （4）如果任何被检验或测试的货物不能满足合同及相关文件规格的要求，采购人可以拒绝接受该货物，供应商应更换被拒绝的货物，或者免费进行必要的修改以满足规格的要求。 （5）采购人在货物到达最终目的地后对货物进行验收、检测或测试及必要时拒绝接受货物的权力将不会因为货物在从供应商或货物制造厂启运前通过了采购人或其代表的检验、测试和认可而受到限制或放弃。 （6）验收依据： ①本合同及合同附件。②国家相应的标准、规范。 ③招标文件、投标文件、澄清表（函）。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 （2）在质量保证期内，如果货物的质量、规格、技术指标等与合同有任何一项不符，买方应尽快以书面形式向卖方提出索赔。同时应向政府采购管理部门报告。 （3）卖方在收到买方的通知后，应及时免费维修或更换有缺陷的货物或部件，并相应延长保修期限。具体响应时限见专用合同条款。 （4）如果卖方在收到通知后，没有在上述专用合同条款中规定的时限内及时弥补缺陷，买方可采取必要的补救措施，但其风险和费用将由卖方承担，买方根据合同规定对卖方行使的其它权力不受影响。 （5）质量保修期：三年。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合同法》、《中华人民共和国政府采购法》的相关条款规定和本合同约定，成交供应商未全面履行合同义务或者发生违约，采购人有权终止合同，依法向成交供应商进行经济索赔，并报请政府采购监督管理机关依法进行相应的行政处罚。采购人违约的，应当赔偿给成交供应商造成的经济损失。 合同争议的解决：合同执行中发生争议的，当事人双方应协商解决，协商达不成一致时，可向当地行政仲裁机关申请仲裁或者向人民法院提请诉讼。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按照采购需求提供样品一套。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供应商应授权合法的人员参加投标全过程，其中法定代表人直接参加投标的，须提供法定代表人身份证明书。法定代表人授权代表参加投标的，须提供法定代表人授权书。</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税收及社保缴纳证明</w:t>
            </w:r>
          </w:p>
        </w:tc>
        <w:tc>
          <w:tcPr>
            <w:tcW w:type="dxa" w:w="3322"/>
          </w:tcPr>
          <w:p>
            <w:pPr>
              <w:pStyle w:val="null3"/>
            </w:pPr>
            <w:r>
              <w:rPr>
                <w:rFonts w:ascii="仿宋_GB2312" w:hAnsi="仿宋_GB2312" w:cs="仿宋_GB2312" w:eastAsia="仿宋_GB2312"/>
              </w:rPr>
              <w:t>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合同书面声明及承诺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 标的清单 标的清单（分项）.docx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技术指标响应表.docx 产品技术参数表 商务应答表 投标文件封面 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（1）报价符合唯一性要求： （2）报价一览表填写符合要求；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产品技术参数表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签字、盖章符合文件要求，且无遗漏。</w:t>
            </w:r>
          </w:p>
        </w:tc>
        <w:tc>
          <w:tcPr>
            <w:tcW w:type="dxa" w:w="1661"/>
          </w:tcPr>
          <w:p>
            <w:pPr>
              <w:pStyle w:val="null3"/>
            </w:pPr>
            <w:r>
              <w:rPr>
                <w:rFonts w:ascii="仿宋_GB2312" w:hAnsi="仿宋_GB2312" w:cs="仿宋_GB2312" w:eastAsia="仿宋_GB2312"/>
              </w:rPr>
              <w:t>投标人应提交的相关资格证明材料1.docx 中小企业声明函 商务应答表 供应商承诺书（一）（二）.docx 商务响应表.docx 供应商概况.docx 投标方案说明书.docx 产品技术参数表 投标函 残疾人福利性单位声明函 标的清单 投标文件封面 报价表.docx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无“无效响应”情况声明.docx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所投产品技术参数清楚、明确并能逐条响应招标文件“技术参数表”中参数要求，得13分。负偏离每项扣1分，扣完为止。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技术指标响应表.docx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评审内容：针对本项目提供完整详细的项目实施方案。内容包含：①项目总实施计划(0-3分)②供货组织安排(0-3分)③安装、调试及验收方案(0-3分)④安装材料、物力调配及保障措施等(0-3分)。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评审内容：根据项目实际需求，提供质量保证方案。内容包含：①产品性能（0-4分）②使用寿命及效果（0-4分）③交货及安装时间（0-4分）④应急处理方案等（0-4分）。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如投标人为所投产品经销商：提供货物的合法来源渠道证明文件（包括但不限于：产品制造商授权、销售协议、代理协议等证明文件）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样品参数</w:t>
            </w:r>
          </w:p>
        </w:tc>
        <w:tc>
          <w:tcPr>
            <w:tcW w:type="dxa" w:w="2492"/>
          </w:tcPr>
          <w:p>
            <w:pPr>
              <w:pStyle w:val="null3"/>
            </w:pPr>
            <w:r>
              <w:rPr>
                <w:rFonts w:ascii="仿宋_GB2312" w:hAnsi="仿宋_GB2312" w:cs="仿宋_GB2312" w:eastAsia="仿宋_GB2312"/>
              </w:rPr>
              <w:t>评审内容：根据提供的样品实际内容包含：①样品的质量（0-2分）②样品的材质（0-2分）③样品的牢固程度(0-2分）④样品的外观与款式（0-2分）⑤样品的气味（0-2分）。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投标人所投产品为“环境标志产品政府采购品目清单”内的，应提供该产品由国家确定的认证机构出具的中国环境标志产品认证证书且处于有效期内。</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 2022 年 6月 1 日以来类似项目业绩（以合同签订日期为准），每份合格业绩合同计 1 分，满分4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评审内容：根据项目实际需求提供售后服务方案。内容包含：①售后服务范围及保障措施（0-3分）②响应时间（0-3分）③响应方式（0-3分）④故障处理及补救措施等（0-3分）。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详见附件：技术指标响应表.docx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详见附件：无“无效响应”情况声明.docx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详见附件：标的清单（分项）.docx</w:t>
      </w:r>
    </w:p>
    <w:p>
      <w:pPr>
        <w:pStyle w:val="null3"/>
        <w:ind w:firstLine="960"/>
      </w:pPr>
      <w:r>
        <w:rPr>
          <w:rFonts w:ascii="仿宋_GB2312" w:hAnsi="仿宋_GB2312" w:cs="仿宋_GB2312" w:eastAsia="仿宋_GB2312"/>
        </w:rPr>
        <w:t>详见附件：投标人应提交的相关资格证明材料1.docx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