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A8D84">
      <w:pPr>
        <w:jc w:val="center"/>
        <w:rPr>
          <w:rFonts w:hint="eastAsia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临渭区学校设施设备</w:t>
      </w:r>
    </w:p>
    <w:p w14:paraId="1B71CE71"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提升改造学生课桌椅（可午休）</w:t>
      </w:r>
      <w:r>
        <w:rPr>
          <w:rFonts w:hint="eastAsia" w:ascii="宋体" w:hAnsi="宋体"/>
          <w:b/>
          <w:sz w:val="44"/>
          <w:szCs w:val="44"/>
        </w:rPr>
        <w:t>采购项目</w:t>
      </w:r>
    </w:p>
    <w:p w14:paraId="66C67BBD"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合同书</w:t>
      </w:r>
    </w:p>
    <w:p w14:paraId="266E5EEE">
      <w:pPr>
        <w:jc w:val="center"/>
        <w:rPr>
          <w:rFonts w:hint="eastAsia" w:ascii="宋体" w:hAnsi="宋体"/>
          <w:b/>
          <w:sz w:val="48"/>
          <w:szCs w:val="48"/>
        </w:rPr>
      </w:pPr>
    </w:p>
    <w:p w14:paraId="03F7097B">
      <w:pPr>
        <w:jc w:val="center"/>
        <w:rPr>
          <w:rFonts w:hint="eastAsia" w:ascii="宋体" w:hAnsi="宋体"/>
          <w:b/>
          <w:sz w:val="48"/>
          <w:szCs w:val="48"/>
        </w:rPr>
      </w:pPr>
    </w:p>
    <w:p w14:paraId="128890CA">
      <w:pPr>
        <w:jc w:val="center"/>
        <w:rPr>
          <w:rFonts w:hint="eastAsia" w:ascii="宋体" w:hAnsi="宋体"/>
          <w:b/>
          <w:sz w:val="48"/>
          <w:szCs w:val="48"/>
        </w:rPr>
      </w:pPr>
    </w:p>
    <w:p w14:paraId="40AD2F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center"/>
        <w:rPr>
          <w:rFonts w:hint="default" w:ascii="宋体" w:hAnsi="宋体" w:eastAsia="仿宋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合同编号：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LWQZFCG2025-008</w:t>
      </w:r>
    </w:p>
    <w:p w14:paraId="579DA391">
      <w:pPr>
        <w:autoSpaceDE w:val="0"/>
        <w:autoSpaceDN w:val="0"/>
        <w:adjustRightInd w:val="0"/>
        <w:snapToGrid w:val="0"/>
        <w:spacing w:line="360" w:lineRule="auto"/>
        <w:ind w:firstLine="1680" w:firstLineChars="600"/>
        <w:rPr>
          <w:rFonts w:hint="eastAsia" w:ascii="仿宋" w:hAnsi="仿宋" w:eastAsia="仿宋"/>
          <w:sz w:val="28"/>
          <w:szCs w:val="28"/>
          <w:lang w:val="zh-CN"/>
        </w:rPr>
      </w:pPr>
    </w:p>
    <w:p w14:paraId="631B141A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eastAsia" w:ascii="宋体" w:hAnsi="宋体"/>
          <w:b/>
          <w:bCs/>
          <w:sz w:val="30"/>
          <w:szCs w:val="30"/>
        </w:rPr>
      </w:pPr>
    </w:p>
    <w:p w14:paraId="1B2FF8A0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50D56AA4">
      <w:pPr>
        <w:rPr>
          <w:rFonts w:hint="eastAsia" w:ascii="仿宋" w:hAnsi="仿宋" w:eastAsia="仿宋"/>
          <w:b/>
        </w:rPr>
      </w:pPr>
    </w:p>
    <w:p w14:paraId="50F8EB0F">
      <w:pPr>
        <w:rPr>
          <w:rFonts w:hint="eastAsia" w:ascii="仿宋" w:hAnsi="仿宋" w:eastAsia="仿宋"/>
          <w:b/>
        </w:rPr>
      </w:pPr>
    </w:p>
    <w:p w14:paraId="579FA1CE">
      <w:pPr>
        <w:rPr>
          <w:rFonts w:hint="eastAsia" w:ascii="仿宋" w:hAnsi="仿宋" w:eastAsia="仿宋"/>
          <w:b/>
        </w:rPr>
      </w:pPr>
    </w:p>
    <w:p w14:paraId="35884090">
      <w:pPr>
        <w:rPr>
          <w:rFonts w:hint="eastAsia" w:ascii="仿宋" w:hAnsi="仿宋" w:eastAsia="仿宋"/>
          <w:b/>
        </w:rPr>
      </w:pPr>
    </w:p>
    <w:p w14:paraId="0C8B6A8A">
      <w:pPr>
        <w:rPr>
          <w:rFonts w:hint="eastAsia" w:ascii="仿宋" w:hAnsi="仿宋" w:eastAsia="仿宋"/>
          <w:b/>
          <w:sz w:val="48"/>
          <w:szCs w:val="48"/>
        </w:rPr>
      </w:pPr>
    </w:p>
    <w:p w14:paraId="38C105F8">
      <w:pPr>
        <w:rPr>
          <w:rFonts w:hint="eastAsia" w:ascii="仿宋" w:hAnsi="仿宋" w:eastAsia="仿宋"/>
          <w:b/>
          <w:sz w:val="48"/>
          <w:szCs w:val="48"/>
        </w:rPr>
      </w:pPr>
    </w:p>
    <w:p w14:paraId="656058F8">
      <w:pPr>
        <w:rPr>
          <w:rFonts w:hint="eastAsia" w:ascii="仿宋" w:hAnsi="仿宋" w:eastAsia="仿宋"/>
          <w:b/>
          <w:sz w:val="48"/>
          <w:szCs w:val="48"/>
        </w:rPr>
      </w:pPr>
    </w:p>
    <w:p w14:paraId="320FCE30">
      <w:pPr>
        <w:rPr>
          <w:rFonts w:hint="eastAsia" w:ascii="仿宋" w:hAnsi="仿宋" w:eastAsia="仿宋"/>
          <w:b/>
          <w:sz w:val="48"/>
          <w:szCs w:val="48"/>
        </w:rPr>
      </w:pPr>
    </w:p>
    <w:p w14:paraId="5476F1A8">
      <w:pPr>
        <w:spacing w:line="680" w:lineRule="exact"/>
        <w:ind w:firstLine="1269" w:firstLineChars="395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甲  方：渭南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市临渭区教育体育局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</w:p>
    <w:p w14:paraId="5AC78A52">
      <w:pPr>
        <w:spacing w:line="680" w:lineRule="exact"/>
        <w:ind w:firstLine="1285" w:firstLineChars="400"/>
        <w:rPr>
          <w:rFonts w:hint="eastAsia" w:ascii="仿宋" w:hAnsi="仿宋" w:eastAsia="仿宋"/>
          <w:b/>
          <w:sz w:val="48"/>
          <w:szCs w:val="48"/>
        </w:rPr>
      </w:pPr>
      <w:r>
        <w:rPr>
          <w:rFonts w:hint="eastAsia" w:ascii="仿宋" w:hAnsi="仿宋" w:eastAsia="仿宋"/>
          <w:b/>
          <w:sz w:val="32"/>
          <w:szCs w:val="32"/>
        </w:rPr>
        <w:t>乙  方：</w:t>
      </w:r>
    </w:p>
    <w:p w14:paraId="521A671A">
      <w:pPr>
        <w:tabs>
          <w:tab w:val="left" w:pos="1995"/>
        </w:tabs>
        <w:spacing w:line="680" w:lineRule="exact"/>
        <w:ind w:firstLine="1269" w:firstLineChars="395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签订时间：202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 月</w:t>
      </w:r>
    </w:p>
    <w:p w14:paraId="0F723BDB"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 w14:paraId="37ACBEB9"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 w14:paraId="3479C3F9"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 w14:paraId="02AA408F"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 w14:paraId="596F0E55"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甲方</w:t>
      </w: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zh-CN"/>
        </w:rPr>
        <w:t>需方</w:t>
      </w:r>
      <w:r>
        <w:rPr>
          <w:rFonts w:hint="eastAsia" w:ascii="仿宋" w:hAnsi="仿宋" w:eastAsia="仿宋"/>
          <w:sz w:val="28"/>
          <w:szCs w:val="28"/>
        </w:rPr>
        <w:t>）：</w:t>
      </w:r>
      <w:r>
        <w:rPr>
          <w:rFonts w:hint="eastAsia" w:ascii="仿宋" w:hAnsi="仿宋" w:eastAsia="仿宋"/>
          <w:sz w:val="28"/>
          <w:szCs w:val="28"/>
          <w:lang w:val="zh-CN"/>
        </w:rPr>
        <w:t>渭南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市临渭区教育体育局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</w:t>
      </w:r>
    </w:p>
    <w:p w14:paraId="69BBD5F4"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乙方（供方）：</w:t>
      </w:r>
    </w:p>
    <w:p w14:paraId="3E32636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渭南市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临渭区</w:t>
      </w:r>
      <w:r>
        <w:rPr>
          <w:rFonts w:hint="eastAsia" w:ascii="仿宋" w:hAnsi="仿宋" w:eastAsia="仿宋"/>
          <w:sz w:val="28"/>
          <w:szCs w:val="28"/>
          <w:lang w:val="zh-CN"/>
        </w:rPr>
        <w:t>政府采购中心    年   月   日，在渭南市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临渭区财政局七楼开标室</w:t>
      </w:r>
      <w:r>
        <w:rPr>
          <w:rFonts w:hint="eastAsia" w:ascii="仿宋" w:hAnsi="仿宋" w:eastAsia="仿宋"/>
          <w:sz w:val="28"/>
          <w:szCs w:val="28"/>
          <w:lang w:val="zh-CN"/>
        </w:rPr>
        <w:t>组织的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临渭区学校设施设备提升改造学生课桌椅（可午休）</w:t>
      </w:r>
      <w:r>
        <w:rPr>
          <w:rFonts w:hint="eastAsia" w:ascii="仿宋" w:hAnsi="仿宋" w:eastAsia="仿宋"/>
          <w:sz w:val="28"/>
          <w:szCs w:val="28"/>
          <w:lang w:val="zh-CN"/>
        </w:rPr>
        <w:t>采购项目采购活动中，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       </w:t>
      </w:r>
      <w:r>
        <w:rPr>
          <w:rFonts w:hint="eastAsia" w:ascii="仿宋" w:hAnsi="仿宋" w:eastAsia="仿宋"/>
          <w:sz w:val="28"/>
          <w:szCs w:val="28"/>
          <w:lang w:val="zh-CN"/>
        </w:rPr>
        <w:t>公司为中标供应商，现就有关事宜协议如下：</w:t>
      </w:r>
    </w:p>
    <w:p w14:paraId="4CB7F38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1、合同内容及金额：即成交供应商的响应具体内容及其成交总金额（包括所发生的运输费、杂费（含保险）、商检费、搬运费、安装调试费、培训费等一切费用）。其金额不受市场和工作量变化的影响。</w:t>
      </w:r>
    </w:p>
    <w:p w14:paraId="1BC1C97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2、设备技术规格、数量：即交付的设备技术规格、型号、数量与响应文件所指明的，或者与本合同所指明的技术规格及型号相一致。</w:t>
      </w:r>
    </w:p>
    <w:p w14:paraId="3B0254A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3、知识产权：即成交供应商应保证采购人在使用成交的设备时，不承担任何涉及知识产权法律诉讼的责任。</w:t>
      </w:r>
    </w:p>
    <w:p w14:paraId="728DEB2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4、工期：合同签订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之日起10</w:t>
      </w:r>
      <w:r>
        <w:rPr>
          <w:rFonts w:hint="eastAsia" w:ascii="仿宋" w:hAnsi="仿宋" w:eastAsia="仿宋"/>
          <w:sz w:val="28"/>
          <w:szCs w:val="28"/>
          <w:lang w:val="zh-CN"/>
        </w:rPr>
        <w:t>天内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完成</w:t>
      </w:r>
      <w:r>
        <w:rPr>
          <w:rFonts w:hint="eastAsia" w:ascii="仿宋" w:hAnsi="仿宋" w:eastAsia="仿宋"/>
          <w:sz w:val="28"/>
          <w:szCs w:val="28"/>
          <w:lang w:val="zh-CN"/>
        </w:rPr>
        <w:t>。</w:t>
      </w:r>
    </w:p>
    <w:p w14:paraId="28D941B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质保期：</w:t>
      </w:r>
    </w:p>
    <w:p w14:paraId="59EE34E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 w:eastAsia="zh-CN"/>
        </w:rPr>
      </w:pPr>
      <w:r>
        <w:rPr>
          <w:rFonts w:hint="eastAsia" w:ascii="仿宋" w:hAnsi="仿宋" w:eastAsia="仿宋"/>
          <w:sz w:val="28"/>
          <w:szCs w:val="28"/>
          <w:lang w:val="zh-CN" w:eastAsia="zh-CN"/>
        </w:rPr>
        <w:t xml:space="preserve">（1）卖方应保证所供货物是全新的、未使用过的，并完全符合合同规定的质量、规格、技术指标(包括合同附件)等要求。卖方应保证其货物在正确安装、正常使用和保养条件下，在其使用寿命内应具有满意的性能。在货物最终验收后的质量保证期内，卖方应对由于设计、工艺或材料的缺陷而产生的故障负责。质保期满后如出现此类问题亦应负责。 </w:t>
      </w:r>
    </w:p>
    <w:p w14:paraId="29BE362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 w:eastAsia="zh-CN"/>
        </w:rPr>
      </w:pPr>
      <w:r>
        <w:rPr>
          <w:rFonts w:hint="eastAsia" w:ascii="仿宋" w:hAnsi="仿宋" w:eastAsia="仿宋"/>
          <w:sz w:val="28"/>
          <w:szCs w:val="28"/>
          <w:lang w:val="zh-CN" w:eastAsia="zh-CN"/>
        </w:rPr>
        <w:t>（2）在质量保证期内，如果货物的质量、规格、技术指标等与合同有任何一项不符，买方应尽快以书面形式向卖方提出索赔。</w:t>
      </w:r>
    </w:p>
    <w:p w14:paraId="4CB9739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 w:eastAsia="zh-CN"/>
        </w:rPr>
      </w:pPr>
      <w:r>
        <w:rPr>
          <w:rFonts w:hint="eastAsia" w:ascii="仿宋" w:hAnsi="仿宋" w:eastAsia="仿宋"/>
          <w:sz w:val="28"/>
          <w:szCs w:val="28"/>
          <w:lang w:val="zh-CN" w:eastAsia="zh-CN"/>
        </w:rPr>
        <w:t xml:space="preserve">（3）卖方在收到买方的通知后，应及时免费维修或更换有缺陷的货物或部件，并相应延长保修期限。具体响应时限见专用合同条款。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仿宋" w:hAnsi="仿宋" w:eastAsia="仿宋"/>
          <w:sz w:val="28"/>
          <w:szCs w:val="28"/>
          <w:lang w:val="zh-CN"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  <w:lang w:val="zh-CN" w:eastAsia="zh-CN"/>
        </w:rPr>
        <w:t>）如果卖方在收到通知后，没有在上述专用合同条款中规定的时限内及时弥补缺陷，买方可采取必要的补救措施，但其风险和费用将由卖方承担，买方根据合同规定对卖方行使的其它权力不受影响。</w:t>
      </w:r>
    </w:p>
    <w:p w14:paraId="4C377F9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 w:eastAsia="zh-CN"/>
        </w:rPr>
      </w:pPr>
      <w:r>
        <w:rPr>
          <w:rFonts w:hint="eastAsia" w:ascii="仿宋" w:hAnsi="仿宋" w:eastAsia="仿宋"/>
          <w:sz w:val="28"/>
          <w:szCs w:val="28"/>
          <w:lang w:val="zh-CN"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  <w:lang w:val="zh-CN" w:eastAsia="zh-CN"/>
        </w:rPr>
        <w:t>）质量保修期：三年。</w:t>
      </w:r>
    </w:p>
    <w:p w14:paraId="4712966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成交供应商未征得采购人同意和谅解而单方面延迟交货，将按违约终止合同。</w:t>
      </w:r>
    </w:p>
    <w:p w14:paraId="707769E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成交供应商遇到可能妨碍按时安装调试的情况，应当及时以书面形式通知采购人，说明原由、拖延的期限等；采购人在收到通知后，尽快进行情况评估并确定是否通过修改合同，酌情延长交工时间或者通过协商加收误期赔偿金。</w:t>
      </w:r>
    </w:p>
    <w:p w14:paraId="662731E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5、交货地点：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采购人指定地点</w:t>
      </w:r>
      <w:r>
        <w:rPr>
          <w:rFonts w:hint="eastAsia" w:ascii="仿宋" w:hAnsi="仿宋" w:eastAsia="仿宋"/>
          <w:sz w:val="28"/>
          <w:szCs w:val="28"/>
          <w:lang w:val="zh-CN"/>
        </w:rPr>
        <w:t>。</w:t>
      </w:r>
    </w:p>
    <w:p w14:paraId="209AEAA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6、包装：包装必须适应设备和交通运输要求，以及国家有关标准或企业标准或合同要求。成交供应商应承担由于包装、防护措施不妥引起的所有损失的责任和费用。</w:t>
      </w:r>
    </w:p>
    <w:p w14:paraId="092F894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7、运输：成交供应商可根据交货期、运输条件自行选择运输方式（另有规定的除外），承担一切运输费用。</w:t>
      </w:r>
    </w:p>
    <w:p w14:paraId="63DDD96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8、付款方式：</w:t>
      </w:r>
    </w:p>
    <w:p w14:paraId="1D5D76E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采购包1： 合同签订后支付合同价款的40%，所有货物安装调试并验收合格后付合同价款的50%，剩余价款的10%在验收合格后一年内付清。支付过程中产生的税费由供应商承担。</w:t>
      </w:r>
    </w:p>
    <w:p w14:paraId="7BF29DC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9、技术保障：成交供应商应随同设备单提供相应的中文技术文件（包括产品合格证、装箱清单、操作手册、使用说明、检测报告、维护手册、服务指南等资料），现场安装、调试、试运行技术保障服务。</w:t>
      </w:r>
    </w:p>
    <w:p w14:paraId="5747EC2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10、考察与人员技术培训：</w:t>
      </w:r>
    </w:p>
    <w:p w14:paraId="6D797FA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10.1培训方式：现场培训；</w:t>
      </w:r>
    </w:p>
    <w:p w14:paraId="1C7268B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10.2培训人数：用户指定人员及人数；</w:t>
      </w:r>
    </w:p>
    <w:p w14:paraId="2C43ACD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10.3培训内容：</w:t>
      </w:r>
    </w:p>
    <w:p w14:paraId="0CA3A84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以上各项培训均为免费。</w:t>
      </w:r>
    </w:p>
    <w:p w14:paraId="1009C11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11、质量保证</w:t>
      </w:r>
    </w:p>
    <w:p w14:paraId="6AE9478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11.1成交供应商使用的原材料应提供清单，并在到货24小时内通知采购人代表检验核实（具体方式在合同中明确）。</w:t>
      </w:r>
    </w:p>
    <w:p w14:paraId="56459A0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11.2成交供应商应当保证所供设备的来源渠道正常，产品是全新的、未使用过的，且完全符合合同规定的质量、规格、技术指标等要求，并在质保期内、外应对由于产品设计、工艺或材料的缺陷而产生的质量问题负责。</w:t>
      </w:r>
    </w:p>
    <w:p w14:paraId="76F78D7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11.3在质保期内，如果发现设备的质量、规格、技术指标等存在与合同有任何一项不符，采购人应在最短时间内，以书面形式向成交供应商人提出索赔。同时告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知</w:t>
      </w:r>
      <w:r>
        <w:rPr>
          <w:rFonts w:hint="eastAsia" w:ascii="仿宋" w:hAnsi="仿宋" w:eastAsia="仿宋"/>
          <w:sz w:val="28"/>
          <w:szCs w:val="28"/>
          <w:lang w:val="zh-CN"/>
        </w:rPr>
        <w:t>招标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代理</w:t>
      </w:r>
      <w:r>
        <w:rPr>
          <w:rFonts w:hint="eastAsia" w:ascii="仿宋" w:hAnsi="仿宋" w:eastAsia="仿宋"/>
          <w:sz w:val="28"/>
          <w:szCs w:val="28"/>
          <w:lang w:val="zh-CN"/>
        </w:rPr>
        <w:t>机构。</w:t>
      </w:r>
    </w:p>
    <w:p w14:paraId="7224208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11.4成交供应商应当明确售后服务公约，承诺免费维修服务条件。</w:t>
      </w:r>
    </w:p>
    <w:p w14:paraId="7CBB946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12、检验：在交货前，成交供应商应当对所提供设备的质量、规格、技术、数量等进行准确而全面的检验，出具合格证并封装；设备送达指定地点后，成交供应商、采购人须在约定的时间和地点共同开箱检验。</w:t>
      </w:r>
    </w:p>
    <w:p w14:paraId="664BAF6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13、验收：通过检验的设备方可进行安装、调试，达到正常使用条件时由采购人负责组织邀请有关专家、质检机构共同进行验收；验收合格须交接项目实施的全部资料，并填写政府采购项目验收报告单。验收须以合同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国家</w:t>
      </w:r>
      <w:r>
        <w:rPr>
          <w:rFonts w:hint="eastAsia" w:ascii="仿宋" w:hAnsi="仿宋" w:eastAsia="仿宋"/>
          <w:sz w:val="28"/>
          <w:szCs w:val="28"/>
          <w:lang w:val="zh-CN"/>
        </w:rPr>
        <w:t>相应的标准、规范等为依据。</w:t>
      </w:r>
    </w:p>
    <w:p w14:paraId="31ECE80A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14、合同争议的解决：合同执行中发生争议的，当事人双方应协商解决，协商达不成一致时，可向当地行政仲裁机关申请仲裁或者向人民法院提请诉讼。</w:t>
      </w:r>
    </w:p>
    <w:p w14:paraId="0759FD78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15、合同一经签订，不得擅自变更、中止或者终止合同。对确需变更、调整或者中止、终止合同的，应按规定履行相应的手续。</w:t>
      </w:r>
    </w:p>
    <w:p w14:paraId="6A0C4C81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16、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 双方权利义务</w:t>
      </w:r>
    </w:p>
    <w:p w14:paraId="3B3AE07F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甲方权利义务：</w:t>
      </w:r>
    </w:p>
    <w:p w14:paraId="3B504040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/>
          <w:sz w:val="28"/>
          <w:szCs w:val="28"/>
          <w:lang w:val="zh-CN"/>
        </w:rPr>
        <w:t>.1 按合同约定支付款项。</w:t>
      </w:r>
    </w:p>
    <w:p w14:paraId="47742AED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.2 提供符合要求的安装场地和条件。</w:t>
      </w:r>
    </w:p>
    <w:p w14:paraId="77603D0B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.3 及时组织验收工作。</w:t>
      </w:r>
    </w:p>
    <w:p w14:paraId="553E3DFA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.4 有权监督乙方的安装质量和进度。</w:t>
      </w:r>
    </w:p>
    <w:p w14:paraId="6F283F1B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.5 按说明书要求正确使用和维护设备。</w:t>
      </w:r>
    </w:p>
    <w:p w14:paraId="1B42DCE5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.6 在保修期内非质量问题造成的维修，应支付相应费用。</w:t>
      </w:r>
    </w:p>
    <w:p w14:paraId="2E460D8B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乙方权利义务：</w:t>
      </w:r>
    </w:p>
    <w:p w14:paraId="4032DC33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.7 保证设备来源合法、质量合格，是原厂正品。</w:t>
      </w:r>
    </w:p>
    <w:p w14:paraId="240B59C2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.8 按合同约定时间、地点交付合格设备。</w:t>
      </w:r>
    </w:p>
    <w:p w14:paraId="1A77E3EC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.9 严格按照技术规范和合同要求进行安全、文明施工，确保安装质量。</w:t>
      </w:r>
    </w:p>
    <w:p w14:paraId="0DDDE924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.10 承担安装期间的人员、设备安全责任。</w:t>
      </w:r>
    </w:p>
    <w:p w14:paraId="7DB865A6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.11 提供完整的技术资料（说明书、保修卡、合格证等）和操作培训。</w:t>
      </w:r>
    </w:p>
    <w:p w14:paraId="0A3DA77F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.12 履行保修义务。</w:t>
      </w:r>
    </w:p>
    <w:p w14:paraId="5C43DCC5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.13 遵守甲方现场管理制度。</w:t>
      </w:r>
    </w:p>
    <w:p w14:paraId="5C70B30B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  <w:lang w:val="zh-CN"/>
        </w:rPr>
        <w:t>、违约责任：依据《中华人民共和国合同法》、《中华人民共和国政府采购法》的相关条款规定和本合同约定，成交供应商未全面履行合同义务或者发生违约，采购人有权终止合同，依法向成交供应商进行经济索赔，并报请政府采购监督管理机关依法进行相应的行政处罚。采购人违约的，应当赔偿给成交供应商造成的经济损失。</w:t>
      </w:r>
    </w:p>
    <w:p w14:paraId="61874C82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sz w:val="28"/>
          <w:szCs w:val="28"/>
          <w:lang w:val="zh-CN"/>
        </w:rPr>
        <w:t>、合同正本一式4份，采购人、成交供应商、招标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代理</w:t>
      </w:r>
      <w:r>
        <w:rPr>
          <w:rFonts w:hint="eastAsia" w:ascii="仿宋" w:hAnsi="仿宋" w:eastAsia="仿宋"/>
          <w:sz w:val="28"/>
          <w:szCs w:val="28"/>
          <w:lang w:val="zh-CN"/>
        </w:rPr>
        <w:t>机构各执一份，政府采购监督管理机关备案执一份。</w:t>
      </w:r>
    </w:p>
    <w:p w14:paraId="65BF98AC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  <w:lang w:val="zh-CN"/>
        </w:rPr>
        <w:t>、其他（在合同中具体明确）</w:t>
      </w:r>
    </w:p>
    <w:p w14:paraId="4E81B12F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</w:p>
    <w:p w14:paraId="6237BDFA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</w:p>
    <w:tbl>
      <w:tblPr>
        <w:tblStyle w:val="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4678"/>
      </w:tblGrid>
      <w:tr w14:paraId="495CE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4A1625FE">
            <w:pPr>
              <w:spacing w:line="44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甲  方</w:t>
            </w:r>
          </w:p>
        </w:tc>
        <w:tc>
          <w:tcPr>
            <w:tcW w:w="4678" w:type="dxa"/>
            <w:noWrap w:val="0"/>
            <w:vAlign w:val="top"/>
          </w:tcPr>
          <w:p w14:paraId="1C92EA40">
            <w:pPr>
              <w:spacing w:line="44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乙  方</w:t>
            </w:r>
          </w:p>
        </w:tc>
      </w:tr>
      <w:tr w14:paraId="5807B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center"/>
          </w:tcPr>
          <w:p w14:paraId="4B0947CA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 w14:paraId="077F44DB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 w14:paraId="31ACBE9B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采购人名称</w:t>
            </w:r>
          </w:p>
          <w:p w14:paraId="03E2F791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  <w:p w14:paraId="64AD8EAE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 w14:paraId="5E993BDE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678" w:type="dxa"/>
            <w:noWrap w:val="0"/>
            <w:vAlign w:val="center"/>
          </w:tcPr>
          <w:p w14:paraId="0D2DAE9C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 w14:paraId="27016E4A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 w14:paraId="7E1500BF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中标供应商全称</w:t>
            </w:r>
          </w:p>
          <w:p w14:paraId="7C3CA91C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  <w:p w14:paraId="12F6981E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 w14:paraId="6B2F3D67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 w14:paraId="6E72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6FC9B37E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地址： </w:t>
            </w:r>
          </w:p>
          <w:p w14:paraId="39E823DE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678" w:type="dxa"/>
            <w:noWrap w:val="0"/>
            <w:vAlign w:val="top"/>
          </w:tcPr>
          <w:p w14:paraId="693CC290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地址：</w:t>
            </w:r>
          </w:p>
        </w:tc>
      </w:tr>
      <w:tr w14:paraId="0C592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77197BF0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邮编：</w:t>
            </w:r>
          </w:p>
          <w:p w14:paraId="46F1D85A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 w14:paraId="212BEA5C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邮编：</w:t>
            </w:r>
          </w:p>
        </w:tc>
      </w:tr>
      <w:tr w14:paraId="48329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4644" w:type="dxa"/>
            <w:noWrap w:val="0"/>
            <w:vAlign w:val="top"/>
          </w:tcPr>
          <w:p w14:paraId="52E27A89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法定代表人： </w:t>
            </w:r>
          </w:p>
        </w:tc>
        <w:tc>
          <w:tcPr>
            <w:tcW w:w="4678" w:type="dxa"/>
            <w:noWrap w:val="0"/>
            <w:vAlign w:val="top"/>
          </w:tcPr>
          <w:p w14:paraId="52A455B1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法定代表人：</w:t>
            </w:r>
          </w:p>
        </w:tc>
      </w:tr>
      <w:tr w14:paraId="32801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4644" w:type="dxa"/>
            <w:noWrap w:val="0"/>
            <w:vAlign w:val="top"/>
          </w:tcPr>
          <w:p w14:paraId="4B090129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被授权代表：（签字）</w:t>
            </w:r>
          </w:p>
          <w:p w14:paraId="50F492E9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 w14:paraId="7E53509B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被授权代表：（签字）</w:t>
            </w:r>
          </w:p>
        </w:tc>
      </w:tr>
      <w:tr w14:paraId="00E1B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56FEFEC0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电话：</w:t>
            </w:r>
          </w:p>
        </w:tc>
        <w:tc>
          <w:tcPr>
            <w:tcW w:w="4678" w:type="dxa"/>
            <w:noWrap w:val="0"/>
            <w:vAlign w:val="top"/>
          </w:tcPr>
          <w:p w14:paraId="731DC3C1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电话：</w:t>
            </w:r>
          </w:p>
        </w:tc>
      </w:tr>
      <w:tr w14:paraId="7915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368241B6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传真：</w:t>
            </w:r>
          </w:p>
        </w:tc>
        <w:tc>
          <w:tcPr>
            <w:tcW w:w="4678" w:type="dxa"/>
            <w:noWrap w:val="0"/>
            <w:vAlign w:val="top"/>
          </w:tcPr>
          <w:p w14:paraId="311DA6A0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传真：</w:t>
            </w:r>
          </w:p>
        </w:tc>
      </w:tr>
      <w:tr w14:paraId="1C2CF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22EB7B02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 w14:paraId="27B0FD6A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开户银行：</w:t>
            </w:r>
          </w:p>
        </w:tc>
      </w:tr>
      <w:tr w14:paraId="5348B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4644" w:type="dxa"/>
            <w:noWrap w:val="0"/>
            <w:vAlign w:val="top"/>
          </w:tcPr>
          <w:p w14:paraId="79C9ACC2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 w14:paraId="169515FB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帐号：</w:t>
            </w:r>
          </w:p>
        </w:tc>
      </w:tr>
      <w:tr w14:paraId="56902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71D16224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日期：   年   月   日</w:t>
            </w:r>
          </w:p>
          <w:p w14:paraId="4C355F0C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 w14:paraId="57334868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日期：   年   月   日</w:t>
            </w:r>
          </w:p>
        </w:tc>
      </w:tr>
    </w:tbl>
    <w:p w14:paraId="23363D00">
      <w:pPr>
        <w:spacing w:line="500" w:lineRule="exact"/>
        <w:rPr>
          <w:rFonts w:ascii="仿宋_GB2312" w:hAnsi="仿宋_GB2312" w:eastAsia="仿宋_GB2312" w:cs="仿宋_GB2312"/>
          <w:b/>
          <w:sz w:val="36"/>
        </w:rPr>
      </w:pPr>
      <w:r>
        <w:rPr>
          <w:rFonts w:hint="eastAsia" w:ascii="仿宋" w:hAnsi="仿宋" w:eastAsia="仿宋"/>
          <w:sz w:val="42"/>
          <w:szCs w:val="42"/>
        </w:rPr>
        <w:t xml:space="preserve">   </w:t>
      </w:r>
      <w:r>
        <w:rPr>
          <w:rFonts w:hint="eastAsia" w:ascii="仿宋" w:hAnsi="仿宋" w:eastAsia="仿宋"/>
          <w:sz w:val="28"/>
          <w:szCs w:val="28"/>
          <w:lang w:val="zh-CN"/>
        </w:rPr>
        <w:t>备注：以上合同条款中，甲方为采购人，乙方为中标供应商，确认方为招标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代理</w:t>
      </w:r>
      <w:r>
        <w:rPr>
          <w:rFonts w:hint="eastAsia" w:ascii="仿宋" w:hAnsi="仿宋" w:eastAsia="仿宋"/>
          <w:sz w:val="28"/>
          <w:szCs w:val="28"/>
          <w:lang w:val="zh-CN"/>
        </w:rPr>
        <w:t>机构。</w:t>
      </w:r>
    </w:p>
    <w:p w14:paraId="7F9C60C5">
      <w:pPr>
        <w:pStyle w:val="5"/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</w:p>
    <w:p w14:paraId="53E190B5">
      <w:pPr>
        <w:pStyle w:val="5"/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  <w:bookmarkStart w:id="0" w:name="_GoBack"/>
      <w:bookmarkEnd w:id="0"/>
    </w:p>
    <w:p w14:paraId="4C29AA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2A4CBD"/>
    <w:rsid w:val="0D2C662D"/>
    <w:rsid w:val="342A4CBD"/>
    <w:rsid w:val="4A681D20"/>
    <w:rsid w:val="52A54437"/>
    <w:rsid w:val="52D323DE"/>
    <w:rsid w:val="5FB3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2520</Words>
  <Characters>2631</Characters>
  <Lines>0</Lines>
  <Paragraphs>0</Paragraphs>
  <TotalTime>0</TotalTime>
  <ScaleCrop>false</ScaleCrop>
  <LinksUpToDate>false</LinksUpToDate>
  <CharactersWithSpaces>2752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2025-07-14T08:43:00Z</dcterms:created>
  <dc:creator>AnzeMei  </dc:creator>
  <cp:lastModifiedBy>AnzeMei  </cp:lastModifiedBy>
  <dcterms:modified xsi:type="dcterms:W3CDTF">2025-07-25T09:03:32Z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98C99355892F44F583A4AC994449DBE4_13</vt:lpwstr>
  </property>
  <property fmtid="{D5CDD505-2E9C-101B-9397-08002B2CF9AE}" pid="4" name="KSOTemplateDocerSaveRecord">
    <vt:lpwstr>eyJoZGlkIjoiNDAwNzMzYzc2MWY0NDI5NDkyODRmODQ2YjhlYzI1ZWMiLCJ1c2VySWQiOiI3MjQwOTc4NDkifQ==</vt:lpwstr>
  </property>
</Properties>
</file>