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0327D">
      <w:pPr>
        <w:jc w:val="center"/>
        <w:rPr>
          <w:rFonts w:hint="eastAsia" w:ascii="宋体" w:hAnsi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30C06CD0">
      <w:pPr>
        <w:jc w:val="center"/>
        <w:rPr>
          <w:rFonts w:hint="eastAsia" w:ascii="宋体" w:hAnsi="宋体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公寓楼设施</w:t>
      </w:r>
      <w:r>
        <w:rPr>
          <w:rFonts w:hint="eastAsia" w:ascii="宋体" w:hAnsi="宋体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采购项目</w:t>
      </w:r>
    </w:p>
    <w:p w14:paraId="5B2CABCF">
      <w:pPr>
        <w:jc w:val="center"/>
        <w:rPr>
          <w:rFonts w:hint="eastAsia" w:ascii="宋体" w:hAnsi="宋体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合同书</w:t>
      </w:r>
    </w:p>
    <w:p w14:paraId="4A499B36">
      <w:pPr>
        <w:jc w:val="center"/>
        <w:rPr>
          <w:rFonts w:hint="eastAsia" w:ascii="宋体" w:hAnsi="宋体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68728E50">
      <w:pPr>
        <w:jc w:val="center"/>
        <w:rPr>
          <w:rFonts w:hint="eastAsia" w:ascii="宋体" w:hAnsi="宋体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01997FE2">
      <w:pPr>
        <w:jc w:val="center"/>
        <w:rPr>
          <w:rFonts w:hint="eastAsia" w:ascii="宋体" w:hAnsi="宋体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7634BB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center"/>
        <w:rPr>
          <w:rFonts w:hint="default" w:ascii="宋体" w:hAnsi="宋体" w:eastAsia="仿宋" w:cs="宋体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合同编号：</w:t>
      </w:r>
      <w:r>
        <w:rPr>
          <w:rFonts w:hint="eastAsia" w:ascii="仿宋" w:hAnsi="仿宋" w:eastAsia="仿宋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LWQZFCG2025-010</w:t>
      </w:r>
    </w:p>
    <w:p w14:paraId="2F8C0D7E">
      <w:pPr>
        <w:autoSpaceDE w:val="0"/>
        <w:autoSpaceDN w:val="0"/>
        <w:adjustRightInd w:val="0"/>
        <w:snapToGrid w:val="0"/>
        <w:spacing w:line="360" w:lineRule="auto"/>
        <w:ind w:firstLine="1680" w:firstLineChars="600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</w:p>
    <w:p w14:paraId="38C620F7">
      <w:pPr>
        <w:autoSpaceDE w:val="0"/>
        <w:autoSpaceDN w:val="0"/>
        <w:adjustRightInd w:val="0"/>
        <w:snapToGrid w:val="0"/>
        <w:spacing w:line="360" w:lineRule="auto"/>
        <w:jc w:val="center"/>
        <w:outlineLvl w:val="0"/>
        <w:rPr>
          <w:rFonts w:hint="eastAsia" w:ascii="宋体" w:hAnsi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1EBBE36B">
      <w:pPr>
        <w:jc w:val="center"/>
        <w:rPr>
          <w:rFonts w:hint="eastAsia"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A32FF90">
      <w:pPr>
        <w:rPr>
          <w:rFonts w:hint="eastAsia" w:ascii="仿宋" w:hAnsi="仿宋" w:eastAsia="仿宋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 w14:paraId="623C0725">
      <w:pPr>
        <w:rPr>
          <w:rFonts w:hint="eastAsia" w:ascii="仿宋" w:hAnsi="仿宋" w:eastAsia="仿宋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 w14:paraId="2DAAC2AD">
      <w:pPr>
        <w:rPr>
          <w:rFonts w:hint="eastAsia" w:ascii="仿宋" w:hAnsi="仿宋" w:eastAsia="仿宋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 w14:paraId="452A052D">
      <w:pPr>
        <w:rPr>
          <w:rFonts w:hint="eastAsia" w:ascii="仿宋" w:hAnsi="仿宋" w:eastAsia="仿宋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 w14:paraId="13422CE3">
      <w:pPr>
        <w:rPr>
          <w:rFonts w:hint="eastAsia" w:ascii="仿宋" w:hAnsi="仿宋" w:eastAsia="仿宋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6C37B915">
      <w:pPr>
        <w:rPr>
          <w:rFonts w:hint="eastAsia" w:ascii="仿宋" w:hAnsi="仿宋" w:eastAsia="仿宋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27F94E25">
      <w:pPr>
        <w:rPr>
          <w:rFonts w:hint="eastAsia" w:ascii="仿宋" w:hAnsi="仿宋" w:eastAsia="仿宋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5E811D2C">
      <w:pPr>
        <w:rPr>
          <w:rFonts w:hint="eastAsia" w:ascii="仿宋" w:hAnsi="仿宋" w:eastAsia="仿宋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2500702C">
      <w:pPr>
        <w:spacing w:line="680" w:lineRule="exact"/>
        <w:ind w:firstLine="1269" w:firstLineChars="395"/>
        <w:rPr>
          <w:rFonts w:hint="eastAsia"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甲  方：</w:t>
      </w:r>
      <w:r>
        <w:rPr>
          <w:rFonts w:hint="eastAsia" w:ascii="仿宋" w:hAnsi="仿宋" w:eastAsia="仿宋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渭南市三贤中学</w:t>
      </w:r>
      <w:r>
        <w:rPr>
          <w:rFonts w:hint="eastAsia"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073FAE4B">
      <w:pPr>
        <w:spacing w:line="680" w:lineRule="exact"/>
        <w:ind w:firstLine="1285" w:firstLineChars="400"/>
        <w:rPr>
          <w:rFonts w:hint="eastAsia" w:ascii="仿宋" w:hAnsi="仿宋" w:eastAsia="仿宋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乙  方：</w:t>
      </w:r>
    </w:p>
    <w:p w14:paraId="3893D37E">
      <w:pPr>
        <w:tabs>
          <w:tab w:val="left" w:pos="1995"/>
        </w:tabs>
        <w:spacing w:line="680" w:lineRule="exact"/>
        <w:ind w:firstLine="1269" w:firstLineChars="395"/>
        <w:rPr>
          <w:rFonts w:hint="eastAsia"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签订时间：202</w:t>
      </w:r>
      <w:r>
        <w:rPr>
          <w:rFonts w:hint="eastAsia" w:ascii="仿宋" w:hAnsi="仿宋" w:eastAsia="仿宋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 月</w:t>
      </w:r>
    </w:p>
    <w:p w14:paraId="528181A4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</w:p>
    <w:p w14:paraId="5F1032FC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</w:p>
    <w:p w14:paraId="0C1C94CA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</w:p>
    <w:p w14:paraId="3DFF8BBF"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</w:p>
    <w:p w14:paraId="28C78F52"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需方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）：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渭南市三贤中学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</w:t>
      </w:r>
    </w:p>
    <w:p w14:paraId="5138CB73"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乙方（供方）：</w:t>
      </w:r>
    </w:p>
    <w:p w14:paraId="0B1973DF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渭南市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临渭区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政府采购中心    年   月   日，在渭南市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临渭区财政局七楼开标室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组织的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公寓楼设施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采购项目采购活动中，</w:t>
      </w:r>
      <w:r>
        <w:rPr>
          <w:rFonts w:hint="eastAsia" w:ascii="仿宋" w:hAnsi="仿宋" w:eastAsia="仿宋"/>
          <w:color w:val="000000" w:themeColor="text1"/>
          <w:sz w:val="28"/>
          <w:szCs w:val="28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公司为中标供应商，现就有关事宜协议如下：</w:t>
      </w:r>
    </w:p>
    <w:p w14:paraId="5FA70F77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1、合同内容及金额：即成交供应商的响应具体内容及其成交总金额。其金额不受市场和工作量变化的影响。</w:t>
      </w:r>
    </w:p>
    <w:p w14:paraId="2B2285C4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2、设备技术规格、数量：即交付的设备技术规格、型号、数量与响应文件所指明的，或者与本合同所指明的技术规格及型号相一致。</w:t>
      </w:r>
    </w:p>
    <w:p w14:paraId="4F4480C5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3、知识产权：即成交供应商应保证采购人在使用成交的设备时，不承担任何涉及知识产权法律诉讼的责任。</w:t>
      </w:r>
    </w:p>
    <w:p w14:paraId="593FEEDD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4、工期：合同签订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之日起10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天内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完成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。</w:t>
      </w:r>
    </w:p>
    <w:p w14:paraId="2EDF3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0" w:firstLineChars="200"/>
        <w:textAlignment w:val="auto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质保期：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1）卖方应保证所供货物是全新的、未使用过的，并完全符合合同规定的质量、规格、技术指标(包括合同附件)等要求。卖方应保证其货物在正确安装、正常使用和保养条件下，在其使用寿命内应具有满意的性能。在货物最终验收后的质量保证期内，卖方应对由于设计、工艺或材料的缺陷而产生的故障负责。质保期满后如出现此类问题亦应负责。 （2）在质量保证期内，如果货物的质量、规格、技术指标等与合同有任何一项不符，买方应尽快以书面形式向卖方提出索赔。 （3）卖方在收到买方的通知后，应及时免费维修或更换有缺陷的货物或部件，并相应延长保修期限。具体响应时限见专用合同条款。 （4）如果卖方在收到通知后，没有在上述专用合同条款中规定的时限内及时弥补缺陷，买方可采取必要的补救措施，但其风险和费用将由卖方承担，买方根据合同规定对卖方行使的其它权力不受影响。 （5）质量保修期：三年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C3F303E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成交供应商未征得采购人同意和谅解而单方面延迟交货，将按违约终止合同。</w:t>
      </w:r>
    </w:p>
    <w:p w14:paraId="445A3458">
      <w:pPr>
        <w:tabs>
          <w:tab w:val="left" w:pos="1155"/>
        </w:tabs>
        <w:spacing w:line="360" w:lineRule="auto"/>
        <w:ind w:firstLine="645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成交供应商遇到可能妨碍按时安装调试的情况，应当及时以书面形式通知采购人，说明原由、拖延的期限等；采购人在收到通知后，尽快进行情况评估并确定是否通过修改合同，酌情延长交工时间或者通过协商加收误期赔偿金。</w:t>
      </w:r>
    </w:p>
    <w:p w14:paraId="38B3A4AA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、交货地点：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采购人指定地点（渭南市三贤中学院内）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。</w:t>
      </w:r>
    </w:p>
    <w:p w14:paraId="107F2F2F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、包装：包装必须适应设备和交通运输要求，以及国家有关标准或企业标准或合同要求。成交供应商应承担由于包装、防护措施不妥引起的所有损失的责任和费用。</w:t>
      </w:r>
    </w:p>
    <w:p w14:paraId="1B8DD545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、运输：成交供应商可根据交货期、运输条件自行选择运输方式（另有规定的除外），承担一切运输费用。</w:t>
      </w:r>
    </w:p>
    <w:p w14:paraId="643A6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付款方式：</w:t>
      </w:r>
      <w:r>
        <w:rPr>
          <w:rFonts w:hint="eastAsia" w:ascii="仿宋" w:hAnsi="仿宋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合同签订后支付合同价款的40%，所有货物安装调试并验收合格后付合同价款的50%，剩余价款的10%在验收合格后一年内付清。支付过程中产生的税费由供应商承担。</w:t>
      </w:r>
    </w:p>
    <w:p w14:paraId="26C98A1F">
      <w:pPr>
        <w:spacing w:line="600" w:lineRule="exact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、技术保障：成交供应商应随同设备单提供相应的中文技术文件（包括产品合格证、装箱清单、检测报告、维护手册等资料），现场安装、调试技术保障服务。</w:t>
      </w:r>
    </w:p>
    <w:p w14:paraId="230CAD5E">
      <w:pPr>
        <w:tabs>
          <w:tab w:val="left" w:pos="1155"/>
          <w:tab w:val="left" w:pos="1470"/>
        </w:tabs>
        <w:spacing w:line="360" w:lineRule="auto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、质量保证</w:t>
      </w:r>
    </w:p>
    <w:p w14:paraId="31619915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.1成交供应商使用的原材料应提供清单，并在到货24小时内通知采购人代表检验核实（具体方式在合同中明确）。</w:t>
      </w:r>
    </w:p>
    <w:p w14:paraId="7FC2F685">
      <w:pPr>
        <w:tabs>
          <w:tab w:val="left" w:pos="0"/>
          <w:tab w:val="left" w:pos="1575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2成交供应商应当保证所供设备的来源渠道正常，产品是全新的、未使用过的，且完全符合合同规定的质量、规格、技术指标等要求，并在质保期内、外应对由于产品设计、工艺或材料的缺陷而产生的质量问题负责。</w:t>
      </w:r>
    </w:p>
    <w:p w14:paraId="4F34907F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.3在质保期内，如果发现设备的质量、规格、技术指标等存在与合同有任何一项不符，采购人应在最短时间内，以书面形式向成交供应商人提出索赔。同时告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知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代理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机构。</w:t>
      </w:r>
    </w:p>
    <w:p w14:paraId="733AE18E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.4成交供应商应当明确售后服务公约，承诺免费维修服务条件。</w:t>
      </w:r>
    </w:p>
    <w:p w14:paraId="1316D948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、检验：在交货前，成交供应商应当对所提供的质量、规格、数量等进行准确而全面的检验，出具合格证并封装；设备送达指定地点后，成交供应商、采购人须在约定的时间和地点共同开箱检验。</w:t>
      </w:r>
    </w:p>
    <w:p w14:paraId="70E9AAF3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、验收：通过检验的设备方可进行安装、调试，达到正常使用条件时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由采购人负责组织邀请有关专家、质检机构共同进行验收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；验收合格须交接项目实施的全部资料，并填写政府采购项目验收报告单。验收须以合同、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国家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相应的标准、规范等为依据。</w:t>
      </w:r>
    </w:p>
    <w:p w14:paraId="6DB80620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、合同争议的解决：合同执行中发生争议的，当事人双方应协商解决，协商达不成一致时，可向当地行政仲裁机关申请仲裁或者向人民法院提请诉讼。</w:t>
      </w:r>
    </w:p>
    <w:p w14:paraId="600B5773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、合同一经签订，不得擅自变更、中止或者终止合同。对确需变更、调整或者中止、终止合同的，应按规定履行相应的手续。</w:t>
      </w:r>
    </w:p>
    <w:p w14:paraId="5E3BA15D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16、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双方权利义务</w:t>
      </w:r>
    </w:p>
    <w:p w14:paraId="0553A796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甲方权利义务：</w:t>
      </w:r>
    </w:p>
    <w:p w14:paraId="1C0C2455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.1 按合同约定支付款项。</w:t>
      </w:r>
    </w:p>
    <w:p w14:paraId="20E9A243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.2 提供符合要求的安装场地和条件。</w:t>
      </w:r>
    </w:p>
    <w:p w14:paraId="0AFAE40D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.3 及时组织验收工作。</w:t>
      </w:r>
    </w:p>
    <w:p w14:paraId="5FEB2D46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.4 有权监督乙方的安装质量和进度。</w:t>
      </w:r>
    </w:p>
    <w:p w14:paraId="77DC9F67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.5 按说明书要求正确使用和维护设备。</w:t>
      </w:r>
    </w:p>
    <w:p w14:paraId="1F6D3D8C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.6 在保修期内非质量问题造成的维修，应支付相应费用。</w:t>
      </w:r>
    </w:p>
    <w:p w14:paraId="6BFBB868">
      <w:pPr>
        <w:spacing w:line="360" w:lineRule="auto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乙方权利义务：</w:t>
      </w:r>
    </w:p>
    <w:p w14:paraId="1E58B7A6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.7 保证设备来源合法、质量合格，是原厂正品。</w:t>
      </w:r>
    </w:p>
    <w:p w14:paraId="6A4B797D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.8 按合同约定时间、地点交付合格设备。</w:t>
      </w:r>
    </w:p>
    <w:p w14:paraId="47A0C509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.9 严格按照技术规范和合同要求进行安全、文明施工，确保安装质量。</w:t>
      </w:r>
    </w:p>
    <w:p w14:paraId="663063BA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.10 承担安装期间的人员、设备安全责任。</w:t>
      </w:r>
    </w:p>
    <w:p w14:paraId="744DBB7C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.11 提供完整的技术资料（说明书、保修卡、合格证等）和操作培训。</w:t>
      </w:r>
    </w:p>
    <w:p w14:paraId="2797B426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.12 履行保修义务。</w:t>
      </w:r>
    </w:p>
    <w:p w14:paraId="5029598F">
      <w:pPr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.13 遵守甲方现场管理制度。</w:t>
      </w:r>
    </w:p>
    <w:p w14:paraId="1A452487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、违约责任：依据《中华人民共和国合同法》、《中华人民共和国政府采购法》的相关条款规定和本合同约定，成交供应商未全面履行合同义务或者发生违约，采购人有权终止合同，依法向成交供应商进行经济索赔，并报请政府采购监督管理机关依法进行相应的行政处罚。采购人违约的，应当赔偿给成交供应商造成的经济损失。</w:t>
      </w:r>
    </w:p>
    <w:p w14:paraId="4CE1FC5D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、合同正本一式4份，采购人、成交供应商、招标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代理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机构各执一份，政府采购监督管理机关备案执一份。</w:t>
      </w:r>
    </w:p>
    <w:p w14:paraId="5580CD76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、其他（在合同中具体明确）</w:t>
      </w:r>
    </w:p>
    <w:p w14:paraId="1B50418D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</w:p>
    <w:p w14:paraId="1065DE2A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78"/>
      </w:tblGrid>
      <w:tr w14:paraId="44D64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top"/>
          </w:tcPr>
          <w:p w14:paraId="7690E1E2">
            <w:pPr>
              <w:spacing w:line="440" w:lineRule="exact"/>
              <w:jc w:val="center"/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甲  方</w:t>
            </w:r>
          </w:p>
        </w:tc>
        <w:tc>
          <w:tcPr>
            <w:tcW w:w="4678" w:type="dxa"/>
            <w:vAlign w:val="top"/>
          </w:tcPr>
          <w:p w14:paraId="102204F3">
            <w:pPr>
              <w:spacing w:line="440" w:lineRule="exact"/>
              <w:jc w:val="center"/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乙  方</w:t>
            </w:r>
          </w:p>
        </w:tc>
      </w:tr>
      <w:tr w14:paraId="63089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center"/>
          </w:tcPr>
          <w:p w14:paraId="64BCCB14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59196BA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DF0A83B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采购人名称</w:t>
            </w:r>
          </w:p>
          <w:p w14:paraId="08506D0D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 w14:paraId="0FD8099F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7886A4D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vAlign w:val="center"/>
          </w:tcPr>
          <w:p w14:paraId="1A8BC795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A97E970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7BE2568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中标供应商全称</w:t>
            </w:r>
          </w:p>
          <w:p w14:paraId="29F8ADF8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 w14:paraId="279E27A9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DFCCE85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B10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top"/>
          </w:tcPr>
          <w:p w14:paraId="2BCC5745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 w14:paraId="7F2CD13B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vAlign w:val="top"/>
          </w:tcPr>
          <w:p w14:paraId="67E9B9B4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</w:tr>
      <w:tr w14:paraId="01457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top"/>
          </w:tcPr>
          <w:p w14:paraId="4748401E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  <w:p w14:paraId="291DF656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vAlign w:val="top"/>
          </w:tcPr>
          <w:p w14:paraId="73FD01E2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</w:tr>
      <w:tr w14:paraId="71D8C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4644" w:type="dxa"/>
            <w:vAlign w:val="top"/>
          </w:tcPr>
          <w:p w14:paraId="03BD8245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法定代表人： </w:t>
            </w:r>
          </w:p>
        </w:tc>
        <w:tc>
          <w:tcPr>
            <w:tcW w:w="4678" w:type="dxa"/>
            <w:vAlign w:val="top"/>
          </w:tcPr>
          <w:p w14:paraId="310762A6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法定代表人：</w:t>
            </w:r>
          </w:p>
        </w:tc>
      </w:tr>
      <w:tr w14:paraId="2EB98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4644" w:type="dxa"/>
            <w:vAlign w:val="top"/>
          </w:tcPr>
          <w:p w14:paraId="25232384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被授权代表：（签字）</w:t>
            </w:r>
          </w:p>
          <w:p w14:paraId="39F40618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vAlign w:val="top"/>
          </w:tcPr>
          <w:p w14:paraId="683199BD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被授权代表：（签字）</w:t>
            </w:r>
          </w:p>
        </w:tc>
      </w:tr>
      <w:tr w14:paraId="26BFA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top"/>
          </w:tcPr>
          <w:p w14:paraId="668D09C0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678" w:type="dxa"/>
            <w:vAlign w:val="top"/>
          </w:tcPr>
          <w:p w14:paraId="7CEA6257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</w:tr>
      <w:tr w14:paraId="4788F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top"/>
          </w:tcPr>
          <w:p w14:paraId="7FE66D92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  <w:tc>
          <w:tcPr>
            <w:tcW w:w="4678" w:type="dxa"/>
            <w:vAlign w:val="top"/>
          </w:tcPr>
          <w:p w14:paraId="7BF636C9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</w:tr>
      <w:tr w14:paraId="01965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top"/>
          </w:tcPr>
          <w:p w14:paraId="7F7C7989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vAlign w:val="top"/>
          </w:tcPr>
          <w:p w14:paraId="079BA009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</w:tc>
      </w:tr>
      <w:tr w14:paraId="652D8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4644" w:type="dxa"/>
            <w:vAlign w:val="top"/>
          </w:tcPr>
          <w:p w14:paraId="311D6B46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vAlign w:val="top"/>
          </w:tcPr>
          <w:p w14:paraId="2658BBF9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</w:tc>
      </w:tr>
      <w:tr w14:paraId="12A54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top"/>
          </w:tcPr>
          <w:p w14:paraId="5398AFE1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日期：   年   月   日</w:t>
            </w:r>
          </w:p>
          <w:p w14:paraId="154F88DD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vAlign w:val="top"/>
          </w:tcPr>
          <w:p w14:paraId="437E1E0F">
            <w:pPr>
              <w:spacing w:line="440" w:lineRule="exact"/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日期：   年   月   日</w:t>
            </w:r>
          </w:p>
        </w:tc>
      </w:tr>
    </w:tbl>
    <w:p w14:paraId="5C7F1282">
      <w:pPr>
        <w:spacing w:line="500" w:lineRule="exact"/>
        <w:rPr>
          <w:rFonts w:ascii="仿宋_GB2312" w:hAnsi="仿宋_GB2312" w:eastAsia="仿宋_GB2312" w:cs="仿宋_GB2312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42"/>
          <w:szCs w:val="4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备注：以上合同条款中，甲方为采购人，乙方为中标供应商。</w:t>
      </w:r>
    </w:p>
    <w:p w14:paraId="675AD469">
      <w:pPr>
        <w:pStyle w:val="5"/>
        <w:jc w:val="both"/>
        <w:outlineLvl w:val="1"/>
        <w:rPr>
          <w:rFonts w:ascii="仿宋_GB2312" w:hAnsi="仿宋_GB2312" w:eastAsia="仿宋_GB2312" w:cs="仿宋_GB2312"/>
          <w:b/>
          <w:sz w:val="36"/>
        </w:rPr>
      </w:pPr>
    </w:p>
    <w:p w14:paraId="254CAC01">
      <w:pPr>
        <w:pStyle w:val="5"/>
        <w:jc w:val="center"/>
        <w:outlineLvl w:val="1"/>
        <w:rPr>
          <w:rFonts w:ascii="仿宋_GB2312" w:hAnsi="仿宋_GB2312" w:eastAsia="仿宋_GB2312" w:cs="仿宋_GB2312"/>
          <w:b/>
          <w:sz w:val="36"/>
        </w:rPr>
      </w:pPr>
    </w:p>
    <w:p w14:paraId="39EAFC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60A59"/>
    <w:rsid w:val="17FC2552"/>
    <w:rsid w:val="631A1780"/>
    <w:rsid w:val="6DC7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2025-07-30T05:28:26Z</dcterms:created>
  <dc:creator>6</dc:creator>
  <cp:lastModifiedBy>AnzeMei  </cp:lastModifiedBy>
  <dcterms:modified xsi:type="dcterms:W3CDTF">2025-07-30T05:29:26Z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eyJoZGlkIjoiNDAwNzMzYzc2MWY0NDI5NDkyODRmODQ2YjhlYzI1ZWMiLCJ1c2VySWQiOiI3MjQwOTc4NDkifQ==</vt:lpwstr>
  </property>
  <property fmtid="{D5CDD505-2E9C-101B-9397-08002B2CF9AE}" pid="4" name="ICV">
    <vt:lpwstr>C8847F5E5DD042E3B8944C37E75E7F54_12</vt:lpwstr>
  </property>
</Properties>
</file>