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版本号：LWQZFCG2025-01220250801001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临渭区前进路初级中学综合楼功能部室建设项目（教学设备采购）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LWQZFCG2025-012</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临渭区前进路初级中学综合楼功能部室建设项目（教学设备采购）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临渭区前进路初级中学综合楼功能部室建设项目（教学设备采购）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综合楼内各功能部室建设及设施设备、系统集成、辅材及安装调试。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1、营业执照等证明文件：投标人须提供合法注册的法人或其他组织的营业执照等证明文件</w:t>
      </w:r>
    </w:p>
    <w:p>
      <w:pPr>
        <w:pStyle w:val="null3"/>
      </w:pPr>
      <w:r>
        <w:rPr>
          <w:rFonts w:ascii="仿宋_GB2312" w:hAnsi="仿宋_GB2312" w:cs="仿宋_GB2312" w:eastAsia="仿宋_GB2312"/>
        </w:rPr>
        <w:t>2、法定代表人授权委托书：投标人应授权合法的人员参加投标全过程，其中法定代表人直接参加投标的，须提供法定代表人身份证明书。法定代表人授权代表参加投标的，须提供法定代表人授权书。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渭南市临渭区仓城路南段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采购包1：1,145,700.00元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综合楼内各功能部室建设及设施设备、系统集成、辅材及安装调试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1,145,700.00</w:t>
      </w:r>
    </w:p>
    <w:p>
      <w:pPr>
        <w:pStyle w:val="null3"/>
      </w:pPr>
      <w:r>
        <w:rPr>
          <w:rFonts w:ascii="仿宋_GB2312" w:hAnsi="仿宋_GB2312" w:cs="仿宋_GB2312" w:eastAsia="仿宋_GB2312"/>
        </w:rPr>
        <w:t>采购包最高限价（元）: 1,145,700.00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前进路初级中学综合楼功能部室建设项目教学设备采购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1,145,700.00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标的名称：前进路初级中学综合楼功能部室建设项目教学设备采购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（1）验收分甲方指定（所供货学校）初次开箱验收和主管部门最终验收两个阶段，以最终验收为准；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（3）在货物安装调试运行正常后，乙方提交验收申请15日内，甲方组织有关专家进行货物的最终验收。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本项目核心产品为：国产化计算机及桌面系统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投标人须提供合法注册的法人或其他组织的营业执照等证明文件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分项报价表.docx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分项报价表.docx 供应商应提交的相关资格证明材料.docx 投标函 中小企业声明函 残疾人福利性单位声明函 商务要求响应表.docx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投标响应文件技术指标完全满足招标文件得15分，技术参数标“▲”的指标，每负偏离一项扣0.5分；其他技术参数指标，每负偏离一项扣0.25分；扣完为止。 注：标“▲”的重要指标须提供相应的证明材料包括但不限于（投标产品认证证书、产品说明书、测试报告、检测/检验报告等相关证明材料）。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供应商提供2022年7月至今具有类似项目业绩；投标文件中需附合同复印件并加盖公章，以合同签订时间为准。每提供一个得一分，满分5分。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1.满足招标文件实质性要求且最终报价最低的供应商的价格为投标基准价，其价格分为满分30分。 2.投标报价得分=（投标基准价/最终投标报价）×30的公式计算得分。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