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2AE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b/>
          <w:sz w:val="32"/>
          <w:szCs w:val="32"/>
        </w:rPr>
      </w:pPr>
      <w:r>
        <w:rPr>
          <w:rFonts w:hint="eastAsia" w:ascii="宋体" w:hAnsi="宋体"/>
          <w:b/>
          <w:sz w:val="32"/>
          <w:szCs w:val="32"/>
        </w:rPr>
        <w:t>合同文本</w:t>
      </w:r>
    </w:p>
    <w:p w14:paraId="1C376D7C">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26997C6A">
      <w:pPr>
        <w:tabs>
          <w:tab w:val="left" w:pos="735"/>
        </w:tabs>
        <w:autoSpaceDE w:val="0"/>
        <w:autoSpaceDN w:val="0"/>
        <w:adjustRightInd w:val="0"/>
        <w:snapToGrid w:val="0"/>
        <w:spacing w:line="360" w:lineRule="auto"/>
        <w:rPr>
          <w:rFonts w:hint="eastAsia" w:ascii="宋体" w:hAnsi="宋体" w:eastAsia="宋体" w:cs="宋体"/>
          <w:b/>
          <w:bCs/>
          <w:sz w:val="21"/>
          <w:szCs w:val="21"/>
          <w:lang w:val="en-US"/>
        </w:rPr>
      </w:pPr>
      <w:r>
        <w:rPr>
          <w:rFonts w:hint="eastAsia" w:ascii="宋体" w:hAnsi="宋体" w:eastAsia="宋体" w:cs="宋体"/>
          <w:b/>
          <w:bCs/>
          <w:sz w:val="21"/>
          <w:szCs w:val="21"/>
          <w:lang w:val="zh-CN"/>
        </w:rPr>
        <w:t>甲方：</w:t>
      </w:r>
      <w:r>
        <w:rPr>
          <w:rFonts w:hint="eastAsia" w:ascii="宋体" w:hAnsi="宋体" w:eastAsia="宋体" w:cs="宋体"/>
          <w:b/>
          <w:bCs/>
          <w:sz w:val="21"/>
          <w:szCs w:val="21"/>
          <w:u w:val="single"/>
          <w:lang w:val="en-US" w:eastAsia="zh-CN"/>
        </w:rPr>
        <w:t>渭南市临渭区教育体育局</w:t>
      </w:r>
    </w:p>
    <w:p w14:paraId="3EE4D34C">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
          <w:bCs/>
          <w:sz w:val="21"/>
          <w:szCs w:val="21"/>
          <w:u w:val="single"/>
          <w:lang w:val="zh-CN"/>
        </w:rPr>
        <w:t xml:space="preserve">                  </w:t>
      </w:r>
    </w:p>
    <w:p w14:paraId="25F96D4C">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5B808A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甲方： </w:t>
      </w:r>
    </w:p>
    <w:p w14:paraId="0D9F9B9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乙方：（中标单位名称）</w:t>
      </w:r>
    </w:p>
    <w:p w14:paraId="0F25FEF9">
      <w:pPr>
        <w:spacing w:line="360" w:lineRule="auto"/>
        <w:rPr>
          <w:rFonts w:hint="eastAsia" w:ascii="宋体" w:hAnsi="宋体" w:eastAsia="宋体" w:cs="宋体"/>
          <w:sz w:val="21"/>
          <w:szCs w:val="21"/>
        </w:rPr>
      </w:pPr>
      <w:r>
        <w:rPr>
          <w:rFonts w:hint="eastAsia" w:ascii="宋体" w:hAnsi="宋体" w:eastAsia="宋体" w:cs="宋体"/>
          <w:sz w:val="21"/>
          <w:szCs w:val="21"/>
        </w:rPr>
        <w:t>一、合同内容:</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37B1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63" w:hRule="atLeast"/>
          <w:jc w:val="center"/>
        </w:trPr>
        <w:tc>
          <w:tcPr>
            <w:tcW w:w="669" w:type="dxa"/>
            <w:noWrap w:val="0"/>
            <w:vAlign w:val="center"/>
          </w:tcPr>
          <w:p w14:paraId="6F8DB7F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3F271AE7">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6F64CF7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331B95D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5BDBA9A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2252EF7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67A10D38">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78F9AEA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17124D2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1599614A">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51BE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2A76D2C9">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4CAD3E8A">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4EC75C74">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09508976">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007291DF">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1562736A">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7FE8BE41">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5C677B18">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3B49062A">
            <w:pPr>
              <w:spacing w:line="500" w:lineRule="exact"/>
              <w:jc w:val="center"/>
              <w:rPr>
                <w:rFonts w:hint="eastAsia" w:ascii="宋体" w:hAnsi="宋体" w:eastAsia="宋体" w:cs="宋体"/>
                <w:b w:val="0"/>
                <w:bCs w:val="0"/>
                <w:color w:val="000000"/>
                <w:sz w:val="21"/>
                <w:szCs w:val="21"/>
                <w:lang w:val="en-US" w:eastAsia="zh-CN"/>
              </w:rPr>
            </w:pPr>
          </w:p>
        </w:tc>
      </w:tr>
      <w:tr w14:paraId="54D61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7006D58A">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3AB1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5FE0A89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F6EB0BA">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3DCDBE4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4265897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2A81CBC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安装调试费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7CB2C23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3、合同有效期内，合同总价一次包死，不受国家政策性调价或原材料价格变化及外汇汇率变化的影响，并作为最终结算的依据。</w:t>
      </w:r>
    </w:p>
    <w:p w14:paraId="5EDFCE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三、合同结算</w:t>
      </w:r>
    </w:p>
    <w:p w14:paraId="63474F93">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1、付款</w:t>
      </w:r>
      <w:r>
        <w:rPr>
          <w:rFonts w:hint="eastAsia" w:ascii="宋体" w:hAnsi="宋体" w:eastAsia="宋体" w:cs="宋体"/>
          <w:b/>
          <w:sz w:val="21"/>
          <w:szCs w:val="21"/>
          <w:lang w:val="en-US" w:eastAsia="zh-CN"/>
        </w:rPr>
        <w:t>方式及</w:t>
      </w:r>
      <w:r>
        <w:rPr>
          <w:rFonts w:hint="eastAsia" w:ascii="宋体" w:hAnsi="宋体" w:eastAsia="宋体" w:cs="宋体"/>
          <w:b/>
          <w:sz w:val="21"/>
          <w:szCs w:val="21"/>
        </w:rPr>
        <w:t>比例：</w:t>
      </w:r>
    </w:p>
    <w:p w14:paraId="2D13D1C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合同签订后支付合同价款的40%，所有货物安装调试并验收合格后付合同价款的50%，剩余价款的10%在验收合格后一年内付清。支付过程中产生的税费由供应商承担。</w:t>
      </w:r>
      <w:bookmarkStart w:id="0" w:name="_GoBack"/>
      <w:bookmarkEnd w:id="0"/>
    </w:p>
    <w:p w14:paraId="4F9FB3A0">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506B1B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254ECC3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eastAsia="宋体" w:cs="宋体"/>
          <w:b w:val="0"/>
          <w:bCs/>
          <w:sz w:val="21"/>
          <w:szCs w:val="21"/>
          <w:u w:val="single"/>
          <w:lang w:val="en-US" w:eastAsia="zh-CN"/>
        </w:rPr>
        <w:t>渭南市临渭区</w:t>
      </w:r>
      <w:r>
        <w:rPr>
          <w:rFonts w:hint="eastAsia" w:ascii="宋体" w:hAnsi="宋体" w:eastAsia="宋体" w:cs="宋体"/>
          <w:b w:val="0"/>
          <w:bCs/>
          <w:sz w:val="21"/>
          <w:szCs w:val="21"/>
        </w:rPr>
        <w:t>。</w:t>
      </w:r>
    </w:p>
    <w:p w14:paraId="0ED021D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p>
    <w:p w14:paraId="1A1F3B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质量保证</w:t>
      </w:r>
    </w:p>
    <w:p w14:paraId="125EA5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1、乙方提供货物必须是原品牌制造厂制造的最新工艺、生产的最新产品。</w:t>
      </w:r>
    </w:p>
    <w:p w14:paraId="7779B55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2、所供货物必须是经过办理正常手续的全新产品。</w:t>
      </w:r>
    </w:p>
    <w:p w14:paraId="761B4ED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3、所供货物是经过国家法定检验、注册、准许市场销售的合法产品。</w:t>
      </w:r>
    </w:p>
    <w:p w14:paraId="03AC467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4、货物性能稳定、具有较好的使用效果，质量保证措施完善，符合国家相关标准。</w:t>
      </w:r>
    </w:p>
    <w:p w14:paraId="168CCA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sz w:val="21"/>
          <w:szCs w:val="21"/>
        </w:rPr>
        <w:t>5、</w:t>
      </w:r>
      <w:r>
        <w:rPr>
          <w:rFonts w:hint="eastAsia" w:ascii="宋体" w:hAnsi="宋体" w:eastAsia="宋体" w:cs="宋体"/>
          <w:b/>
          <w:sz w:val="21"/>
          <w:szCs w:val="21"/>
        </w:rPr>
        <w:t>质量保证期：</w:t>
      </w:r>
      <w:r>
        <w:rPr>
          <w:rFonts w:hint="eastAsia" w:ascii="宋体" w:hAnsi="宋体" w:eastAsia="宋体" w:cs="宋体"/>
          <w:b w:val="0"/>
          <w:bCs/>
          <w:sz w:val="21"/>
          <w:szCs w:val="21"/>
        </w:rPr>
        <w:t>质保期内出现质量问题予以免费维修或调换。</w:t>
      </w:r>
    </w:p>
    <w:p w14:paraId="1AB228F1">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6、所选车辆必须保证质量可靠、进货渠道正规，材质、制作符合国家、行业标准合格品要求。</w:t>
      </w:r>
    </w:p>
    <w:p w14:paraId="0F277B9A">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7、所提供的产品符合国家现行标准和相应的技术规范，这些标准和技术规范应为合同签订之日为止最新公布发行的标准和技术规范。</w:t>
      </w:r>
    </w:p>
    <w:p w14:paraId="1756B14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1FBDB74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4BA2784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151942F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486E879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3584616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16C609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3、技术培训：</w:t>
      </w:r>
    </w:p>
    <w:p w14:paraId="38A610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3-1、培训内容：</w:t>
      </w:r>
    </w:p>
    <w:p w14:paraId="391BD37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3-2、培训地点：</w:t>
      </w:r>
    </w:p>
    <w:p w14:paraId="360C52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3-3、培训时间：</w:t>
      </w:r>
    </w:p>
    <w:p w14:paraId="6A44AA5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3-4、培训人数：</w:t>
      </w:r>
    </w:p>
    <w:p w14:paraId="5FF208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3-5、培训费用：受训人员的食宿费、资料费、培训场地费、耗材（包括水电费等）费等已包含在合同总价中，甲方不再另行支付。</w:t>
      </w:r>
    </w:p>
    <w:p w14:paraId="705EFD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4、售后服务</w:t>
      </w:r>
    </w:p>
    <w:p w14:paraId="48C577D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23ACC3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4-2、如果乙方在收到通知后2天内没有弥补缺陷，甲方可采取必要的补救措施，但其风险和费用将由乙方承担，甲方根据合同规定对乙方行使的其它权力不受影响。甲方亦可从质保金中扣回索赔金额。</w:t>
      </w:r>
    </w:p>
    <w:p w14:paraId="72F16CC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5、伴随服务</w:t>
      </w:r>
    </w:p>
    <w:p w14:paraId="5DAE1D7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5-1、乙方应随同每套货物提供相应的中文的技术文件。</w:t>
      </w:r>
    </w:p>
    <w:p w14:paraId="01F2C9C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5-1-1、完整的操作使用手册和维护、修理技术文件，图纸、保修卡等。</w:t>
      </w:r>
    </w:p>
    <w:p w14:paraId="62D4835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5-1-2、制造厂的检验、测试报告、设备检验合格证书，计量合格等级证书，质量保证书等文件须随设备装箱提供。</w:t>
      </w:r>
    </w:p>
    <w:p w14:paraId="5D09C52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5-1-3、必须的其它技术资料。</w:t>
      </w:r>
    </w:p>
    <w:p w14:paraId="0F22F70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5-2、伴随服务的费用已含在合同价中，不单独进行支付。</w:t>
      </w:r>
    </w:p>
    <w:p w14:paraId="31B72C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6、包装要求</w:t>
      </w:r>
    </w:p>
    <w:p w14:paraId="309904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6-1、除合同另有规定外，乙方提供的全部货物，均应按标准保护措施进行包装，并确保货物安全无损运抵甲方指定地点。</w:t>
      </w:r>
    </w:p>
    <w:p w14:paraId="3D6886F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6-2、每一个包装箱内应附一份详细装箱单和质量合格证。</w:t>
      </w:r>
    </w:p>
    <w:p w14:paraId="39A423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7、乙方应保证甲方在使用该货物或其任何一部分时免受第三方提出侵犯其专利权·商标权或工业设计权的起诉。</w:t>
      </w:r>
    </w:p>
    <w:p w14:paraId="3C95A03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6FF8EB7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1、到货验收：货物到货后，由甲方与乙方共同进行外观验收，验收内容包括，外包装的完好性，货物品牌、规格、数量及产地与合同要求的一致性。</w:t>
      </w:r>
    </w:p>
    <w:p w14:paraId="27CF342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2、货物运行验收：乙方安装调试合格后，向甲方提出验收申请，甲方接到乙方验收申请后组织验收（必要时可聘请相应专家或委托相应部门验收），验收合格后，出具使用验收合格证明。</w:t>
      </w:r>
    </w:p>
    <w:p w14:paraId="798B94B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3、最终验收：最终验收结果作为付款依据，乙方填写验收单，并向甲方提交实施过程中的所有资料，以便甲方日后管理和维护。</w:t>
      </w:r>
    </w:p>
    <w:p w14:paraId="1125B13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4、质保期满后：由乙方出具质保期运行质量报告，若存在质量问题，应按相应规定协商处理。</w:t>
      </w:r>
    </w:p>
    <w:p w14:paraId="300F2AE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5、验收依据：</w:t>
      </w:r>
    </w:p>
    <w:p w14:paraId="70E18E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5-1、合同文本、合同附件、招标文件、投标文件。</w:t>
      </w:r>
    </w:p>
    <w:p w14:paraId="09BFFD05">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5-2、现行的国家标准或国家行政部门颁布的法律法规、规章制度等，是项目验收的另一个重要依据。没有国家标准的，可以参考行业标准。</w:t>
      </w:r>
    </w:p>
    <w:p w14:paraId="108A135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九、违约责任</w:t>
      </w:r>
    </w:p>
    <w:p w14:paraId="645D6A6F">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按《</w:t>
      </w:r>
      <w:r>
        <w:rPr>
          <w:rFonts w:hint="eastAsia" w:ascii="宋体" w:hAnsi="宋体" w:eastAsia="宋体" w:cs="宋体"/>
          <w:sz w:val="21"/>
          <w:szCs w:val="21"/>
          <w:lang w:val="en-US" w:eastAsia="zh-CN"/>
        </w:rPr>
        <w:t>民法典</w:t>
      </w:r>
      <w:r>
        <w:rPr>
          <w:rFonts w:hint="eastAsia" w:ascii="宋体" w:hAnsi="宋体" w:eastAsia="宋体" w:cs="宋体"/>
          <w:sz w:val="21"/>
          <w:szCs w:val="21"/>
        </w:rPr>
        <w:t>》中的相关条款执行。</w:t>
      </w:r>
    </w:p>
    <w:p w14:paraId="38262B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2、乙方履约延误</w:t>
      </w:r>
    </w:p>
    <w:p w14:paraId="56FEA42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2-1、如乙方事先未征得甲方同意并得到甲方的谅解而单方面延迟交货，将按违约终止合同。</w:t>
      </w:r>
    </w:p>
    <w:p w14:paraId="741151B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85A74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3、违约终止合同：未按合同要求提供货物或质量不能满足技术要求，甲方会同监督机构有权终止合同，对乙方违约行为进行追究，同时按政府采购法的有关规定进行相应的处罚。</w:t>
      </w:r>
    </w:p>
    <w:p w14:paraId="4DE56A5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十、合同组成</w:t>
      </w:r>
    </w:p>
    <w:p w14:paraId="60B83A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1、中标通知书</w:t>
      </w:r>
    </w:p>
    <w:p w14:paraId="349E45B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1D9D32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0A27E0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20D1B2E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6FFC85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231F3A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372844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0681335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025FB73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9D07B0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4"/>
        <w:tblW w:w="0" w:type="auto"/>
        <w:jc w:val="center"/>
        <w:tblLayout w:type="fixed"/>
        <w:tblCellMar>
          <w:top w:w="0" w:type="dxa"/>
          <w:left w:w="108" w:type="dxa"/>
          <w:bottom w:w="0" w:type="dxa"/>
          <w:right w:w="108" w:type="dxa"/>
        </w:tblCellMar>
      </w:tblPr>
      <w:tblGrid>
        <w:gridCol w:w="4497"/>
        <w:gridCol w:w="4496"/>
      </w:tblGrid>
      <w:tr w14:paraId="54DBD7A5">
        <w:tblPrEx>
          <w:tblCellMar>
            <w:top w:w="0" w:type="dxa"/>
            <w:left w:w="108" w:type="dxa"/>
            <w:bottom w:w="0" w:type="dxa"/>
            <w:right w:w="108" w:type="dxa"/>
          </w:tblCellMar>
        </w:tblPrEx>
        <w:trPr>
          <w:jc w:val="center"/>
        </w:trPr>
        <w:tc>
          <w:tcPr>
            <w:tcW w:w="4497" w:type="dxa"/>
            <w:noWrap w:val="0"/>
            <w:vAlign w:val="top"/>
          </w:tcPr>
          <w:p w14:paraId="63E9469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74B15B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35CA503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8A13CF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656937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6CB2CA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06FFC70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0A49F70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F5CF36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5B77003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1CA104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06D4E6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0220AC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809C6"/>
    <w:rsid w:val="170809C6"/>
    <w:rsid w:val="325D78EF"/>
    <w:rsid w:val="33296443"/>
    <w:rsid w:val="6B7822AA"/>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after="120" w:afterLines="0" w:afterAutospacing="0"/>
      <w:ind w:left="420" w:leftChars="200"/>
    </w:pPr>
  </w:style>
  <w:style w:type="paragraph" w:customStyle="1" w:styleId="6">
    <w:name w:val="MessageHeader"/>
    <w:basedOn w:val="1"/>
    <w:next w:val="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7">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2347</Words>
  <Characters>2405</Characters>
  <Lines>0</Lines>
  <Paragraphs>0</Paragraphs>
  <TotalTime>7</TotalTime>
  <ScaleCrop>false</ScaleCrop>
  <LinksUpToDate>false</LinksUpToDate>
  <CharactersWithSpaces>2479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2025-07-11T01:58:00Z</dcterms:created>
  <dc:creator>蒲公瑛</dc:creator>
  <cp:lastModifiedBy>蒲公瑛</cp:lastModifiedBy>
  <dcterms:modified xsi:type="dcterms:W3CDTF">2025-08-01T09:24:18Z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57F1F8E4E19F4B1E8EADBABB5B6B2821_11</vt:lpwstr>
  </property>
  <property fmtid="{D5CDD505-2E9C-101B-9397-08002B2CF9AE}" pid="4" name="KSOTemplateDocerSaveRecord">
    <vt:lpwstr>eyJoZGlkIjoiMjMyMjQ3NWZiMzY3ZGRlYWM4ZTc5M2RlNjk3ZDU4ODQiLCJ1c2VySWQiOiIyNjczNDI4MzEifQ==</vt:lpwstr>
  </property>
</Properties>
</file>