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版本号：LWQZFCG2025-01120250801001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渭南市临渭区五里铺小学设施设备采购及功能部室建设项目（设施设备采购）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LWQZFCG2025-011</w:t>
      </w:r>
      <w:r>
        <w:br/>
      </w:r>
      <w:r>
        <w:br/>
      </w:r>
      <w:r>
        <w:br/>
      </w:r>
    </w:p>
    <w:p>
      <w:pPr>
        <w:pStyle w:val="null3"/>
        <w:jc w:val="center"/>
        <w:outlineLvl w:val="2"/>
      </w:pPr>
      <w:r>
        <w:rPr>
          <w:rFonts w:ascii="仿宋_GB2312" w:hAnsi="仿宋_GB2312" w:cs="仿宋_GB2312" w:eastAsia="仿宋_GB2312"/>
          <w:sz w:val="28"/>
          <w:b/>
        </w:rPr>
        <w:t>渭南市临渭区教育体育局</w:t>
      </w:r>
    </w:p>
    <w:p>
      <w:pPr>
        <w:pStyle w:val="null3"/>
        <w:jc w:val="center"/>
        <w:outlineLvl w:val="2"/>
      </w:pPr>
      <w:r>
        <w:rPr>
          <w:rFonts w:ascii="仿宋_GB2312" w:hAnsi="仿宋_GB2312" w:cs="仿宋_GB2312" w:eastAsia="仿宋_GB2312"/>
          <w:sz w:val="28"/>
          <w:b/>
        </w:rPr>
        <w:t>临渭区政府采购中心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临渭区政府采购中心</w:t>
      </w:r>
      <w:r>
        <w:rPr>
          <w:rFonts w:ascii="仿宋_GB2312" w:hAnsi="仿宋_GB2312" w:cs="仿宋_GB2312" w:eastAsia="仿宋_GB2312"/>
        </w:rPr>
        <w:t>（以下简称“代理机构”）受</w:t>
      </w:r>
      <w:r>
        <w:rPr>
          <w:rFonts w:ascii="仿宋_GB2312" w:hAnsi="仿宋_GB2312" w:cs="仿宋_GB2312" w:eastAsia="仿宋_GB2312"/>
        </w:rPr>
        <w:t>渭南市临渭区教育体育局</w:t>
      </w:r>
      <w:r>
        <w:rPr>
          <w:rFonts w:ascii="仿宋_GB2312" w:hAnsi="仿宋_GB2312" w:cs="仿宋_GB2312" w:eastAsia="仿宋_GB2312"/>
        </w:rPr>
        <w:t>委托，拟对</w:t>
      </w:r>
      <w:r>
        <w:rPr>
          <w:rFonts w:ascii="仿宋_GB2312" w:hAnsi="仿宋_GB2312" w:cs="仿宋_GB2312" w:eastAsia="仿宋_GB2312"/>
        </w:rPr>
        <w:t>渭南市临渭区五里铺小学设施设备采购及功能部室建设项目（设施设备采购）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LWQZFCG2025-011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渭南市临渭区五里铺小学设施设备采购及功能部室建设项目（设施设备采购）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五里铺小学教室、办公室及相关功能部室设施设备、系统集成、辅材及安装调试</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1、营业执照等证明文件：供应商须提供合法注册的法人或其他组织的营业执照等证明文件</w:t>
      </w:r>
    </w:p>
    <w:p>
      <w:pPr>
        <w:pStyle w:val="null3"/>
      </w:pPr>
      <w:r>
        <w:rPr>
          <w:rFonts w:ascii="仿宋_GB2312" w:hAnsi="仿宋_GB2312" w:cs="仿宋_GB2312" w:eastAsia="仿宋_GB2312"/>
        </w:rPr>
        <w:t>2、法定代表人授权委托书：供应商应授权合法的人员参加投标全过程，其中法定代表人直接参加投标的，须提供法定代表人身份证明书。法定代表人授权代表参加投标的，须提供法定代表人授权书。</w:t>
      </w:r>
    </w:p>
    <w:p>
      <w:pPr>
        <w:pStyle w:val="null3"/>
      </w:pPr>
      <w:r>
        <w:rPr>
          <w:rFonts w:ascii="仿宋_GB2312" w:hAnsi="仿宋_GB2312" w:cs="仿宋_GB2312" w:eastAsia="仿宋_GB2312"/>
        </w:rPr>
        <w:t>3、税收及社保缴纳证明：提供响应文件递交截止时间前一年内任意一个月的税收缴费凭据；依法免税的应提供相关文件证明；提供响应文件递交截止时间前一年内任意一个月的社保缴费凭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4、财务审计报告或资信证明：提供具有财务审计资质单位出具的2024年度财务报告（成立时间至开标时间不足一年的可提供成立后任意时段的资产负债表）或开标前六个月内其基本账户银行出具的资信证明或政府采购信用担保机构出具的担保函。（以上三种形式的资料提供任意一种即可）</w:t>
      </w:r>
    </w:p>
    <w:p>
      <w:pPr>
        <w:pStyle w:val="null3"/>
      </w:pPr>
      <w:r>
        <w:rPr>
          <w:rFonts w:ascii="仿宋_GB2312" w:hAnsi="仿宋_GB2312" w:cs="仿宋_GB2312" w:eastAsia="仿宋_GB2312"/>
        </w:rPr>
        <w:t>5、合同书面声明及承诺：提供具有履行合同所必需的设备和专业技术能力的承诺。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6、参加政府采购活动前三年内在经营活动中没有重大违法记录的书面声明：提供参加政府采购活动前3年内在经营活动中没有重大违法记录的书面声明。</w:t>
      </w:r>
    </w:p>
    <w:p>
      <w:pPr>
        <w:pStyle w:val="null3"/>
      </w:pPr>
      <w:r>
        <w:rPr>
          <w:rFonts w:ascii="仿宋_GB2312" w:hAnsi="仿宋_GB2312" w:cs="仿宋_GB2312" w:eastAsia="仿宋_GB2312"/>
        </w:rPr>
        <w:t>7、信用信息：供应商未被《信用中国》（网站：www.creditchina.gov.cn)列入重大税收违法失信主体、未被《中国执行信息公开网》（网站：http://zxgk.court.gov.cn/shixin/)列入失信被执行人及未被《中国政府采购网》（网站：www.ccgp.gov.cn）列入政府采购严重违法失信行为记录名单。</w:t>
      </w:r>
    </w:p>
    <w:p>
      <w:pPr>
        <w:pStyle w:val="null3"/>
      </w:pPr>
      <w:r>
        <w:rPr>
          <w:rFonts w:ascii="仿宋_GB2312" w:hAnsi="仿宋_GB2312" w:cs="仿宋_GB2312" w:eastAsia="仿宋_GB2312"/>
        </w:rPr>
        <w:t>8、无控股、管理关系承诺：单位负责人为同一人或者存在直接控股、管理关系的不同供应商，不得参加同一合同项下的政府采购活动。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渭南市临渭区教育体育局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渭南市临渭区仓城路南段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姜老师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09132669032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临渭区政府采购中心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渭南市临渭区财政局乐天大街123号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临渭区政府采购中心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0913-2130883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吕洁</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采购包1：5,589,060.00元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渭南市临渭区教育体育局</w:t>
      </w:r>
      <w:r>
        <w:rPr>
          <w:rFonts w:ascii="仿宋_GB2312" w:hAnsi="仿宋_GB2312" w:cs="仿宋_GB2312" w:eastAsia="仿宋_GB2312"/>
        </w:rPr>
        <w:t>和</w:t>
      </w:r>
      <w:r>
        <w:rPr>
          <w:rFonts w:ascii="仿宋_GB2312" w:hAnsi="仿宋_GB2312" w:cs="仿宋_GB2312" w:eastAsia="仿宋_GB2312"/>
        </w:rPr>
        <w:t>临渭区政府采购中心</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渭南市临渭区教育体育局</w:t>
      </w:r>
      <w:r>
        <w:rPr>
          <w:rFonts w:ascii="仿宋_GB2312" w:hAnsi="仿宋_GB2312" w:cs="仿宋_GB2312" w:eastAsia="仿宋_GB2312"/>
        </w:rPr>
        <w:t>负责解释。除上述招标文件内容，其他内容由</w:t>
      </w:r>
      <w:r>
        <w:rPr>
          <w:rFonts w:ascii="仿宋_GB2312" w:hAnsi="仿宋_GB2312" w:cs="仿宋_GB2312" w:eastAsia="仿宋_GB2312"/>
        </w:rPr>
        <w:t>临渭区政府采购中心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渭南市临渭区教育体育局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临渭区政府采购中心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临渭区政府采购中心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临渭区政府采购中心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临渭区政府采购中心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联系人：临渭区政府采购中心</w:t>
      </w:r>
    </w:p>
    <w:p>
      <w:pPr>
        <w:pStyle w:val="null3"/>
      </w:pPr>
      <w:r>
        <w:rPr>
          <w:rFonts w:ascii="仿宋_GB2312" w:hAnsi="仿宋_GB2312" w:cs="仿宋_GB2312" w:eastAsia="仿宋_GB2312"/>
        </w:rPr>
        <w:t>联系电话： 0913-2130883</w:t>
      </w:r>
    </w:p>
    <w:p>
      <w:pPr>
        <w:pStyle w:val="null3"/>
      </w:pPr>
      <w:r>
        <w:rPr>
          <w:rFonts w:ascii="仿宋_GB2312" w:hAnsi="仿宋_GB2312" w:cs="仿宋_GB2312" w:eastAsia="仿宋_GB2312"/>
        </w:rPr>
        <w:t>地址： 渭南市临渭区财政局乐天大街123号</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普通教室设施设备、教师办公家具及办公设备、各功能部室建设及设施设备、系统集成、辅材及安装调试</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5,589,060.00</w:t>
      </w:r>
    </w:p>
    <w:p>
      <w:pPr>
        <w:pStyle w:val="null3"/>
      </w:pPr>
      <w:r>
        <w:rPr>
          <w:rFonts w:ascii="仿宋_GB2312" w:hAnsi="仿宋_GB2312" w:cs="仿宋_GB2312" w:eastAsia="仿宋_GB2312"/>
        </w:rPr>
        <w:t>采购包最高限价（元）: 5,589,060.00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学生课桌椅、教师办公家具及教学设备等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5,589,060.00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标的名称：学生课桌椅、教师办公家具及教学设备等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详见附件</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合同签订之日起10天内完成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所有货物安装调试并验收合格后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验收合格后一年内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（1）验收分甲方指定（所供货学校）初次开箱验收和主管部门最终验收两个阶段，以最终验收为准； （2）货物到货后，甲、乙双方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（3）在货物安装调试运行正常后，乙方提交验收申请15日内，甲方组织有关专家进行货物的最终验收。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自项目验收合格之日起一年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本项目核心产品为：智慧黑板</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供应商须提供合法注册的法人或其他组织的营业执照等证明文件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供应商应授权合法的人员参加投标全过程，其中法定代表人直接参加投标的，须提供法定代表人身份证明书。法定代表人授权代表参加投标的，须提供法定代表人授权书。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税收及社保缴纳证明</w:t>
            </w:r>
          </w:p>
        </w:tc>
        <w:tc>
          <w:tcPr>
            <w:tcW w:type="dxa" w:w="3322"/>
          </w:tcPr>
          <w:p>
            <w:pPr>
              <w:pStyle w:val="null3"/>
            </w:pPr>
            <w:r>
              <w:rPr>
                <w:rFonts w:ascii="仿宋_GB2312" w:hAnsi="仿宋_GB2312" w:cs="仿宋_GB2312" w:eastAsia="仿宋_GB2312"/>
              </w:rPr>
              <w:t>提供响应文件递交截止时间前一年内任意一个月的税收缴费凭据；依法免税的应提供相关文件证明；提供响应文件递交截止时间前一年内任意一个月的社保缴费凭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财务审计报告或资信证明</w:t>
            </w:r>
          </w:p>
        </w:tc>
        <w:tc>
          <w:tcPr>
            <w:tcW w:type="dxa" w:w="3322"/>
          </w:tcPr>
          <w:p>
            <w:pPr>
              <w:pStyle w:val="null3"/>
            </w:pPr>
            <w:r>
              <w:rPr>
                <w:rFonts w:ascii="仿宋_GB2312" w:hAnsi="仿宋_GB2312" w:cs="仿宋_GB2312" w:eastAsia="仿宋_GB2312"/>
              </w:rPr>
              <w:t>提供具有财务审计资质单位出具的2024年度财务报告（成立时间至开标时间不足一年的可提供成立后任意时段的资产负债表）或开标前六个月内其基本账户银行出具的资信证明或政府采购信用担保机构出具的担保函。（以上三种形式的资料提供任意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合同书面声明及承诺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未被《信用中国》（网站：www.creditchina.gov.cn)列入重大税收违法失信主体、未被《中国执行信息公开网》（网站：http://zxgk.court.gov.cn/shixin/)列入失信被执行人及未被《中国政府采购网》（网站：www.ccgp.gov.cn）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无控股、管理关系承诺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报价一览表</w:t>
            </w:r>
          </w:p>
        </w:tc>
        <w:tc>
          <w:tcPr>
            <w:tcW w:type="dxa" w:w="3322"/>
          </w:tcPr>
          <w:p>
            <w:pPr>
              <w:pStyle w:val="null3"/>
            </w:pPr>
            <w:r>
              <w:rPr>
                <w:rFonts w:ascii="仿宋_GB2312" w:hAnsi="仿宋_GB2312" w:cs="仿宋_GB2312" w:eastAsia="仿宋_GB2312"/>
              </w:rPr>
              <w:t>（1）报价符合唯一性要求： （2）报价一览表填写符合要求； （3）报价货币符合招标文件要求； （4）未超出采购文件规定的最高限制价。</w:t>
            </w:r>
          </w:p>
        </w:tc>
        <w:tc>
          <w:tcPr>
            <w:tcW w:type="dxa" w:w="1661"/>
          </w:tcPr>
          <w:p>
            <w:pPr>
              <w:pStyle w:val="null3"/>
            </w:pPr>
            <w:r>
              <w:rPr>
                <w:rFonts w:ascii="仿宋_GB2312" w:hAnsi="仿宋_GB2312" w:cs="仿宋_GB2312" w:eastAsia="仿宋_GB2312"/>
              </w:rPr>
              <w:t>开标一览表 分项报价表.docx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签字、盖章符合文件要求，且无遗漏。</w:t>
            </w:r>
          </w:p>
        </w:tc>
        <w:tc>
          <w:tcPr>
            <w:tcW w:type="dxa" w:w="1661"/>
          </w:tcPr>
          <w:p>
            <w:pPr>
              <w:pStyle w:val="null3"/>
            </w:pPr>
            <w:r>
              <w:rPr>
                <w:rFonts w:ascii="仿宋_GB2312" w:hAnsi="仿宋_GB2312" w:cs="仿宋_GB2312" w:eastAsia="仿宋_GB2312"/>
              </w:rPr>
              <w:t>分项报价表.docx 供应商应提交的相关资格证明材料.docx 投标函 中小企业声明函 残疾人福利性单位声明函 商务要求响应表.docx 投标文件封面 技术规格偏离表.docx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对磋商文件的响应程度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商务要求响应表.docx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技术参数评审</w:t>
            </w:r>
          </w:p>
        </w:tc>
        <w:tc>
          <w:tcPr>
            <w:tcW w:type="dxa" w:w="2492"/>
          </w:tcPr>
          <w:p>
            <w:pPr>
              <w:pStyle w:val="null3"/>
            </w:pPr>
            <w:r>
              <w:rPr>
                <w:rFonts w:ascii="仿宋_GB2312" w:hAnsi="仿宋_GB2312" w:cs="仿宋_GB2312" w:eastAsia="仿宋_GB2312"/>
              </w:rPr>
              <w:t>投标响应文件技术指标完全满足招标文件得15分，技术参数标“▲”的指标，每负偏离一项扣0.5分；其他技术参数指标，每负偏离一项扣0.25分；扣完为止。 注：标“▲”的重要指标须提供相应的证明材料包括但不限于（投标产品认证证书、产品说明书、测试报告、检测/检验报告等相关证明材料）。</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技术规格偏离表.docx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评审内容： 投标人针对本项目提供完整的项目实施方案。内容包含 ：①供货组织安排②实施计划及进度计划③安装调试验收④物力调配及保障措施⑤针对可能出现的各类突发情况提供应急解决方案。 评审标准： 提供详细、合理、科学可行的方案，方案符合本项目采购需求有针对性，以上5项，以序号①、②、③、④、⑤为项数，内容无缺项、无漏项且无缺陷的得20分，其中每有一项内容存在缺项或漏项的扣4分，每项内容中每有一处存在缺陷的扣2分，该项分值扣完为止，未提供不得分。 赋分说明： “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评审内容： 根据项目实际需求，提供质量保证方案。内容包含①产品性能、使用寿命及效果②运输成品保护方案③计划保证措施④运输时效⑤质量保证措施。 评审标准： 提供详细、合理、科学可行的方案，方案符合本项目采购需求有针对性，以上5项，以序号①、②、③、④、⑤为项数，内容无缺项、无漏项且无缺陷的得15分，其中每有一项内容存在缺项或漏项的扣3分，每项内容中每有一处存在缺陷的扣1分，该项分值扣完为止，未提供不得分。 赋分说明： “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评审内容： 针对本项目具有可行的技术培训方案。包括①培训计划，含培训计划表、地点、时间及培训对象人数等②培训内容，含所提供产品的原理和技术性能、操作维护方法、安装调试、排除故障等。 评审标准： 提供详细、合理、科学可行的方案，方案符合本项目采购需求有针对性，以上2项，以序号①、②为项数，内容无缺项、无漏项且无缺陷的得6分，其中每有一项内容存在缺项或漏项的扣3分，每项内容中每有一处存在缺陷的扣1分，该项分值扣完为止，未提供不得分。 赋分说明： “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评审内容： 根据项目实际需求提供售后服务方案。内容包含：①服务范围及保障措施②售后服务团队人员配备方案③售后服务体系及方式。 评审标准： 提供详细、合理、科学可行的方案，方案符合本项目采购需求有针对性，以上3项，以序号①、②、③为项数，内容无缺项、无漏项且无缺陷的得9分，其中每有一项内容存在缺项或漏项的扣3分，每项内容中每有一处存在缺陷的扣1分，该项分值扣完为止，未提供不得分。 赋分说明： “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供应商提供2022年7月至今具有类似项目业绩；投标文件中需附合同复印件并加盖公章，以合同签订时间为准。每提供一个得一分，满分5分。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1.满足招标文件实质性要求且最终报价最低的供应商的价格为投标基准价，其价格分为满分30分。 2.投标报价得分=（投标基准价/最终投标报价）×30的公式计算得分。 3.投标报价不完整的，不进入评标标准价的计算，本项得0分。 4.经评评标小组一致认定，超过预算金额,其响应将被拒绝。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详见附件：技术部分.docx</w:t>
      </w:r>
    </w:p>
    <w:p>
      <w:pPr>
        <w:pStyle w:val="null3"/>
        <w:ind w:firstLine="960"/>
      </w:pPr>
      <w:r>
        <w:rPr>
          <w:rFonts w:ascii="仿宋_GB2312" w:hAnsi="仿宋_GB2312" w:cs="仿宋_GB2312" w:eastAsia="仿宋_GB2312"/>
        </w:rPr>
        <w:t>详见附件：技术规格偏离表.docx</w:t>
      </w:r>
    </w:p>
    <w:p>
      <w:pPr>
        <w:pStyle w:val="null3"/>
        <w:ind w:firstLine="960"/>
      </w:pPr>
      <w:r>
        <w:rPr>
          <w:rFonts w:ascii="仿宋_GB2312" w:hAnsi="仿宋_GB2312" w:cs="仿宋_GB2312" w:eastAsia="仿宋_GB2312"/>
        </w:rPr>
        <w:t>详见附件：商务要求响应表.docx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