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版本号：ZCSP-临渭区-2025-0019220250812001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临渭区2025年度林业草原生态保护恢复资金陆生野生动物危害防控和补偿项目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ZCSP-临渭区-2025-00192</w:t>
      </w:r>
      <w:r>
        <w:br/>
      </w:r>
      <w:r>
        <w:br/>
      </w:r>
      <w:r>
        <w:br/>
      </w:r>
    </w:p>
    <w:p>
      <w:pPr>
        <w:pStyle w:val="null3"/>
        <w:jc w:val="center"/>
        <w:outlineLvl w:val="2"/>
      </w:pPr>
      <w:r>
        <w:rPr>
          <w:rFonts w:ascii="仿宋_GB2312" w:hAnsi="仿宋_GB2312" w:cs="仿宋_GB2312" w:eastAsia="仿宋_GB2312"/>
          <w:sz w:val="28"/>
          <w:b/>
        </w:rPr>
        <w:t>渭南市临渭区花园国有林场</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渭南市临渭区花园国有林场</w:t>
      </w:r>
      <w:r>
        <w:rPr>
          <w:rFonts w:ascii="仿宋_GB2312" w:hAnsi="仿宋_GB2312" w:cs="仿宋_GB2312" w:eastAsia="仿宋_GB2312"/>
        </w:rPr>
        <w:t>委托，拟对</w:t>
      </w:r>
      <w:r>
        <w:rPr>
          <w:rFonts w:ascii="仿宋_GB2312" w:hAnsi="仿宋_GB2312" w:cs="仿宋_GB2312" w:eastAsia="仿宋_GB2312"/>
        </w:rPr>
        <w:t>临渭区2025年度林业草原生态保护恢复资金陆生野生动物危害防控和补偿项目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ZCSP-临渭区-2025-00192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临渭区2025年度林业草原生态保护恢复资金陆生野生动物危害防控和补偿项目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减轻野猪危害，减少野猪造成的伤害和经济损失，切实维护好人民群众生命财产安全和正常生产生活秩序，现针对性的开展野猪危害综合防控工作，加强野猪危害预警宣传，适时适地适量调控野猪种群数量，为推动区域经济高质量发展提供有力保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采购包1（临渭区2025年度林业草原生态保护恢复资金陆生野生动物危害防控和补偿项目）：属于专门面向中小企业采购。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1、法定代表人身份证明书或授权委托书：法定代表人参与磋商时需提供法定代表人身份证明书；被授权人参与磋商时需提供法定代表人授权委托书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渭南市临渭区花园国有林场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渭南市临渭区桥南镇花园村南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0913-2312053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渭南市临渭区花园国有林场</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渭南市临渭区花园国有林场</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渭南市临渭区花园国有林场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各项服务指标均应符合验收标准及要求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减轻野猪危害，减少野猪造成的伤害和经济损失，切实维护好人民群众生命财产安全和正常生产生活秩序，现针对性的开展野猪危害综合防控工作，加强野猪危害预警宣传，适时适地适量调控野猪种群数量，为推动区域经济高质量发展提供有力保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临渭区2025年度林业草原生态保护恢复资金陆生野生动物危害防控和补偿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标的名称：临渭区2025年度林业草原生态保护恢复资金陆生野生动物危害防控和补偿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为减轻野猪危害，减少野猪造成的伤害和经济损失，切实维护好人民群众生命财产安全和正常生产生活秩序，现针对性的开展野猪危害综合防控工作，加强野猪危害预警宣传，适时适地适量调控野猪种群数量，为推动区域经济高质量发展提供有力保障。</w:t>
            </w:r>
          </w:p>
          <w:p>
            <w:pPr>
              <w:pStyle w:val="null3"/>
            </w:pPr>
            <w:r>
              <w:rPr>
                <w:rFonts w:ascii="仿宋_GB2312" w:hAnsi="仿宋_GB2312" w:cs="仿宋_GB2312" w:eastAsia="仿宋_GB2312"/>
              </w:rPr>
              <w:t>服务质量、标准、期限、效率等要求</w:t>
            </w:r>
          </w:p>
          <w:p>
            <w:pPr>
              <w:pStyle w:val="null3"/>
            </w:pPr>
            <w:r>
              <w:rPr>
                <w:rFonts w:ascii="仿宋_GB2312" w:hAnsi="仿宋_GB2312" w:cs="仿宋_GB2312" w:eastAsia="仿宋_GB2312"/>
              </w:rPr>
              <w:t>1、供应商应结合实际，制定切实可行的种群调控方案，科学合理地调控好野猪的种群数量和结构；</w:t>
            </w:r>
          </w:p>
          <w:p>
            <w:pPr>
              <w:pStyle w:val="null3"/>
            </w:pPr>
            <w:r>
              <w:rPr>
                <w:rFonts w:ascii="仿宋_GB2312" w:hAnsi="仿宋_GB2312" w:cs="仿宋_GB2312" w:eastAsia="仿宋_GB2312"/>
              </w:rPr>
              <w:t>2、供应商严格按照国家标准规范工作，达到国家与行业规范规定的要求；</w:t>
            </w:r>
          </w:p>
          <w:p>
            <w:pPr>
              <w:pStyle w:val="null3"/>
            </w:pPr>
            <w:r>
              <w:rPr>
                <w:rFonts w:ascii="仿宋_GB2312" w:hAnsi="仿宋_GB2312" w:cs="仿宋_GB2312" w:eastAsia="仿宋_GB2312"/>
              </w:rPr>
              <w:t>3.有各类突发事件的应急预案和措施，有明确具体的承诺；</w:t>
            </w:r>
          </w:p>
          <w:p>
            <w:pPr>
              <w:pStyle w:val="null3"/>
            </w:pPr>
            <w:r>
              <w:rPr>
                <w:rFonts w:ascii="仿宋_GB2312" w:hAnsi="仿宋_GB2312" w:cs="仿宋_GB2312" w:eastAsia="仿宋_GB2312"/>
              </w:rPr>
              <w:t>4.供应商所拟派的工作人员，若在服务期间发生任何伤害，采购人概不负责，由供应商自行处理。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（1）在服务范围内按工作内容和要求制定详细的服务方案，方案科学、合理、可靠。 （2）人员配备合理。有针对本项目的专项服务小组，满足项目需求。 （3）有各类突发事件的应急预案和措施，有明确具体的承诺。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验收标准：各项服务指标均应符合验收标准及要求 验收方法：由采购人及相关部门定期对项目进行阶段性验收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本项目服务价款按项目进度进行支付，合同签订后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完成项目所有服务内容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最终经采购人验收合格无异议后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 （二）因供应商原因造成服务期延误（自然灾害等不可抗力除外），采购人有权从未付款项中按每日0.5‰合同价款扣除违约金，此违约以30日为限；若采购人未按约定时间付款，则供应商有权按每日0.5‰合同价款收取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供应商应须具有独立承担民事责任的能力的证明材料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应与营业执照等一致</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对采购文件要求不得进行负偏离响应</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评审内容： 包含：①项目理解，需求分析；②项目实施步骤各阶段进度控制保障措施；③项目重点、难点分析； 评审标准： （1）针对性：符合本项目实际情况，专业性强、内容科学合理； （2）完整性：内容完整详细，条理清晰； （3）可实施性：安排及措施可实施性强。 赋分标准（9分）：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包含：①成果目标；②服务计划；③调查、监测与宣传方案；④项目安全服务方案。 评审标准： （1）针对性：符合本项目实际情况，专业性强、内容科学合理； （2）完整性：内容完整详细，条理清晰； （3）可实施性：安排及措施可实施性强。 赋分标准（16分）： 按照供应商编制内容依据评审标准每项得4分；每有一项内容出现一处存在缺陷的扣2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包含： ①服务质量保障措施；②服务质量标准；③保证人员按时到岗措施。 评审标准： （1）针对性：符合本项目实际情况，专业性强、内容科学合理； （2）完整性：内容完整详细，条理清晰； （3）可实施性：安排及措施可实施性强。 赋分标准（9分）：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评审内容： 包含：①各阶段进度控制方案；②进度控制保证措施。 评审标准： （1）针对性：符合本项目实际情况，专业性强、内容科学合理； （2）完整性：内容完整详细，条理清晰； （3）可实施性：安排及措施可实施性强。 赋分标准（8分）： 按照供应商编制内容依据评审标准每项得4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 包含：①突发事件识别；②应急情况处理措施；③突发事件应急人员安排。 评审标准： （1）针对性：符合本项目实际情况，专业性强、内容科学合理； （2）完整性：内容完整详细，条理清晰； （3）可实施性：安排及措施可实施性强。 赋分标准（9分）：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人员培训计划</w:t>
            </w:r>
          </w:p>
        </w:tc>
        <w:tc>
          <w:tcPr>
            <w:tcW w:type="dxa" w:w="2492"/>
          </w:tcPr>
          <w:p>
            <w:pPr>
              <w:pStyle w:val="null3"/>
            </w:pPr>
            <w:r>
              <w:rPr>
                <w:rFonts w:ascii="仿宋_GB2312" w:hAnsi="仿宋_GB2312" w:cs="仿宋_GB2312" w:eastAsia="仿宋_GB2312"/>
              </w:rPr>
              <w:t>评审内容： 内容包含：①培训计划制定；②专业技能培训；③人身安全培训措施。 评审标准： （1）针对性：符合本项目实际情况，专业性强、内容科学合理； （2）完整性：内容完整详细，条理清晰； （3）可实施性：安排及措施可实施性强。 赋分标准（9分）：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制定详细可行的服务方案及标准，并针对本项目提供详细具体可行的服务措施承诺，每提出一项得1分，最高得5分。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 针对本项目服务内容提出的合理化建议。 评审标准： （1）针对性：能够紧扣项目实际情况，专业性强、内容科学合理； （2）可实施性：切合本项目实际情况，步骤明确、可操作性强。 赋分标准（5分）： 按照供应商编制内容依据评审标准酌情赋分，未提供得0分。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供应商具有近三年（2022年8月至今）的类似项目业绩，每提供1个业绩得1分，本项目最高得5分。（提供合同复印件加盖单位公章，以合同签订时间为准。）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服务团队 ①实施团队人员配备7人（含7人）以上得5分； ②实施团队人员配备4-6人得3分； ③实施团队人员配备1-3人得1分。 需提供佐证材料，包括但不限于身份证、毕业证、岗位证等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