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版本号：ZCSP-临渭区-2025-00189.1B120250823001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临渭区2025年农业生产防灾减灾病虫害防控专项资金项目(二次)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ZCSP-临渭区-2025-00189.1B1</w:t>
      </w:r>
      <w:r>
        <w:br/>
      </w:r>
      <w:r>
        <w:br/>
      </w:r>
      <w:r>
        <w:br/>
      </w:r>
    </w:p>
    <w:p>
      <w:pPr>
        <w:pStyle w:val="null3"/>
        <w:jc w:val="center"/>
        <w:outlineLvl w:val="2"/>
      </w:pPr>
      <w:r>
        <w:rPr>
          <w:rFonts w:ascii="仿宋_GB2312" w:hAnsi="仿宋_GB2312" w:cs="仿宋_GB2312" w:eastAsia="仿宋_GB2312"/>
          <w:sz w:val="28"/>
          <w:b/>
        </w:rPr>
        <w:t>渭南市临渭区农业技术推广中心</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渭南市临渭区农业技术推广中心</w:t>
      </w:r>
      <w:r>
        <w:rPr>
          <w:rFonts w:ascii="仿宋_GB2312" w:hAnsi="仿宋_GB2312" w:cs="仿宋_GB2312" w:eastAsia="仿宋_GB2312"/>
        </w:rPr>
        <w:t>委托，拟对</w:t>
      </w:r>
      <w:r>
        <w:rPr>
          <w:rFonts w:ascii="仿宋_GB2312" w:hAnsi="仿宋_GB2312" w:cs="仿宋_GB2312" w:eastAsia="仿宋_GB2312"/>
        </w:rPr>
        <w:t>临渭区2025年农业生产防灾减灾病虫害防控专项资金项目(二次)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ZCSP-临渭区-2025-00189.1B1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临渭区2025年农业生产防灾减灾病虫害防控专项资金项目(二次)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防治玉米病虫害，提高粮食产量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采购包1（一标段：玉米病虫害防控服务）：属于专门面向中小企业采购。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1、法定代表人身份证明书或法定代表人授权书：法定代表人参与磋商时需提供法定代表人身份证明书；被授权人参与磋商时需提供法定代表人授权委托书；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2、磋商保证金交纳凭证：磋商保证金交纳凭证</w:t>
      </w:r>
    </w:p>
    <w:p>
      <w:pPr>
        <w:pStyle w:val="null3"/>
      </w:pPr>
      <w:r>
        <w:rPr>
          <w:rFonts w:ascii="仿宋_GB2312" w:hAnsi="仿宋_GB2312" w:cs="仿宋_GB2312" w:eastAsia="仿宋_GB2312"/>
        </w:rPr>
        <w:t>3、信用信息：供应商不得为“信用中国”网站（www.creditchina.gov.cn）中列入失信被执行人和重大税收违法失信主体的供应商，不得为中国政府采购网（www.ccgp.gov.cn）中列入政府采购严重违法失信行为记录名单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渭南市民生北街245号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张俊侠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0913-2167055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刘仁杰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采购包1保证金金额：6,400.00元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渭南市临渭区农业技术推广中心</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达到国家相关法律法规要求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联系人：刘仁杰</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防治玉米病虫害，提高粮食产量。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430,000.00</w:t>
      </w:r>
    </w:p>
    <w:p>
      <w:pPr>
        <w:pStyle w:val="null3"/>
      </w:pPr>
      <w:r>
        <w:rPr>
          <w:rFonts w:ascii="仿宋_GB2312" w:hAnsi="仿宋_GB2312" w:cs="仿宋_GB2312" w:eastAsia="仿宋_GB2312"/>
        </w:rPr>
        <w:t>采购包最高限价（元）: 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一标段：玉米病虫害防控服务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标的名称：一标段：玉米病虫害防控服务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left"/>
            </w:pPr>
            <w:r>
              <w:rPr>
                <w:rFonts w:ascii="仿宋_GB2312" w:hAnsi="仿宋_GB2312" w:cs="仿宋_GB2312" w:eastAsia="仿宋_GB2312"/>
              </w:rPr>
              <w:t>1.项目概况</w:t>
            </w:r>
          </w:p>
          <w:p>
            <w:pPr>
              <w:pStyle w:val="null3"/>
            </w:pPr>
            <w:r>
              <w:rPr>
                <w:rFonts w:ascii="仿宋_GB2312" w:hAnsi="仿宋_GB2312" w:cs="仿宋_GB2312" w:eastAsia="仿宋_GB2312"/>
              </w:rPr>
              <w:t>一标段：在玉米重大病虫害发生关键期应用防灾救灾资金开展统一防治，以“吨粮镇”“吨粮村”建设为重点，兼顾粮食合作社、家庭农场、种粮大户等新型农业经营主体等开展玉米重大病虫统防统治，示范引领群防群治。</w:t>
            </w:r>
          </w:p>
          <w:p>
            <w:pPr>
              <w:pStyle w:val="null3"/>
            </w:pPr>
            <w:r>
              <w:rPr>
                <w:rFonts w:ascii="仿宋_GB2312" w:hAnsi="仿宋_GB2312" w:cs="仿宋_GB2312" w:eastAsia="仿宋_GB2312"/>
              </w:rPr>
              <w:t>2.服务内容</w:t>
            </w:r>
          </w:p>
          <w:p>
            <w:pPr>
              <w:pStyle w:val="null3"/>
            </w:pPr>
            <w:r>
              <w:rPr>
                <w:rFonts w:ascii="仿宋_GB2312" w:hAnsi="仿宋_GB2312" w:cs="仿宋_GB2312" w:eastAsia="仿宋_GB2312"/>
              </w:rPr>
              <w:t>一标段：及时实施玉米重大病虫害防控，通过喷施杀虫剂、杀菌剂、叶面肥、生长调剂剂等，防病治虫，增强玉米抗逆性，防控处置率总体达90%以上，病虫危害总体损失率控制在4%以内。夯实我区粮食安全生产基础，保障玉米不受重大病虫灾害影响，产量稳中有增。</w:t>
            </w:r>
          </w:p>
          <w:p>
            <w:pPr>
              <w:pStyle w:val="null3"/>
            </w:pPr>
            <w:r>
              <w:rPr>
                <w:rFonts w:ascii="仿宋_GB2312" w:hAnsi="仿宋_GB2312" w:cs="仿宋_GB2312" w:eastAsia="仿宋_GB2312"/>
              </w:rPr>
              <w:t>3.使用药剂要求</w:t>
            </w:r>
          </w:p>
          <w:p>
            <w:pPr>
              <w:pStyle w:val="null3"/>
            </w:pPr>
            <w:r>
              <w:rPr>
                <w:rFonts w:ascii="仿宋_GB2312" w:hAnsi="仿宋_GB2312" w:cs="仿宋_GB2312" w:eastAsia="仿宋_GB2312"/>
              </w:rPr>
              <w:t>一标段：玉米防控使用药剂</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药剂名称</w:t>
                  </w:r>
                </w:p>
              </w:tc>
              <w:tc>
                <w:tcPr>
                  <w:tcW w:type="dxa" w:w="638"/>
                </w:tcPr>
                <w:p>
                  <w:pPr>
                    <w:pStyle w:val="null3"/>
                  </w:pPr>
                  <w:r>
                    <w:rPr>
                      <w:rFonts w:ascii="仿宋_GB2312" w:hAnsi="仿宋_GB2312" w:cs="仿宋_GB2312" w:eastAsia="仿宋_GB2312"/>
                    </w:rPr>
                    <w:t>数量</w:t>
                  </w:r>
                </w:p>
              </w:tc>
              <w:tc>
                <w:tcPr>
                  <w:tcW w:type="dxa" w:w="638"/>
                </w:tcPr>
                <w:p>
                  <w:pPr>
                    <w:pStyle w:val="null3"/>
                  </w:pPr>
                  <w:r>
                    <w:rPr>
                      <w:rFonts w:ascii="仿宋_GB2312" w:hAnsi="仿宋_GB2312" w:cs="仿宋_GB2312" w:eastAsia="仿宋_GB2312"/>
                    </w:rPr>
                    <w:t>技术指标、参数</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杀虫剂</w:t>
                  </w:r>
                </w:p>
              </w:tc>
              <w:tc>
                <w:tcPr>
                  <w:tcW w:type="dxa" w:w="638"/>
                </w:tcPr>
                <w:p>
                  <w:pPr>
                    <w:pStyle w:val="null3"/>
                  </w:pPr>
                  <w:r>
                    <w:rPr>
                      <w:rFonts w:ascii="仿宋_GB2312" w:hAnsi="仿宋_GB2312" w:cs="仿宋_GB2312" w:eastAsia="仿宋_GB2312"/>
                    </w:rPr>
                    <w:t>按农业部登记药剂的推荐剂量，计2.15万亩</w:t>
                  </w:r>
                </w:p>
              </w:tc>
              <w:tc>
                <w:tcPr>
                  <w:tcW w:type="dxa" w:w="638"/>
                </w:tcPr>
                <w:p>
                  <w:pPr>
                    <w:pStyle w:val="null3"/>
                  </w:pPr>
                  <w:r>
                    <w:rPr>
                      <w:rFonts w:ascii="仿宋_GB2312" w:hAnsi="仿宋_GB2312" w:cs="仿宋_GB2312" w:eastAsia="仿宋_GB2312"/>
                    </w:rPr>
                    <w:t>防治玉米螟、粘虫、草地贪夜蛾、棉铃虫、蚜虫等害虫的四氯虫酰胺、氯虫苯甲酰胺、甲氨基阿维菌素苯甲酸盐、乙基多杀菌素、高效氯氟氰菊酯、溴氰菊酯等混配或复配的杀虫剂</w:t>
                  </w:r>
                </w:p>
              </w:tc>
            </w:tr>
            <w:tr>
              <w:tc>
                <w:tcPr>
                  <w:tcW w:type="dxa" w:w="638"/>
                </w:tcPr>
                <w:p>
                  <w:pPr>
                    <w:pStyle w:val="null3"/>
                  </w:pPr>
                  <w:r>
                    <w:rPr>
                      <w:rFonts w:ascii="仿宋_GB2312" w:hAnsi="仿宋_GB2312" w:cs="仿宋_GB2312" w:eastAsia="仿宋_GB2312"/>
                    </w:rPr>
                    <w:t>2</w:t>
                  </w:r>
                </w:p>
              </w:tc>
              <w:tc>
                <w:tcPr>
                  <w:tcW w:type="dxa" w:w="638"/>
                </w:tcPr>
                <w:p>
                  <w:pPr>
                    <w:pStyle w:val="null3"/>
                  </w:pPr>
                  <w:r>
                    <w:rPr>
                      <w:rFonts w:ascii="仿宋_GB2312" w:hAnsi="仿宋_GB2312" w:cs="仿宋_GB2312" w:eastAsia="仿宋_GB2312"/>
                    </w:rPr>
                    <w:t>杀菌剂</w:t>
                  </w:r>
                </w:p>
              </w:tc>
              <w:tc>
                <w:tcPr>
                  <w:tcW w:type="dxa" w:w="638"/>
                </w:tcPr>
                <w:p>
                  <w:pPr>
                    <w:pStyle w:val="null3"/>
                  </w:pPr>
                  <w:r>
                    <w:rPr>
                      <w:rFonts w:ascii="仿宋_GB2312" w:hAnsi="仿宋_GB2312" w:cs="仿宋_GB2312" w:eastAsia="仿宋_GB2312"/>
                    </w:rPr>
                    <w:t>按农业部登记药剂的推荐剂量，计2.15万亩</w:t>
                  </w:r>
                </w:p>
              </w:tc>
              <w:tc>
                <w:tcPr>
                  <w:tcW w:type="dxa" w:w="638"/>
                </w:tcPr>
                <w:p>
                  <w:pPr>
                    <w:pStyle w:val="null3"/>
                  </w:pPr>
                  <w:r>
                    <w:rPr>
                      <w:rFonts w:ascii="仿宋_GB2312" w:hAnsi="仿宋_GB2312" w:cs="仿宋_GB2312" w:eastAsia="仿宋_GB2312"/>
                    </w:rPr>
                    <w:t>防治大斑病、褐斑病、茎腐病、南方锈病等病害的吡唑醚菌酯、嘧菌酯、氟环唑、醚菌酯、戊唑醇、丙环唑等混配或复配的杀菌剂</w:t>
                  </w:r>
                </w:p>
              </w:tc>
            </w:tr>
            <w:tr>
              <w:tc>
                <w:tcPr>
                  <w:tcW w:type="dxa" w:w="638"/>
                </w:tcPr>
                <w:p>
                  <w:pPr>
                    <w:pStyle w:val="null3"/>
                  </w:pPr>
                  <w:r>
                    <w:rPr>
                      <w:rFonts w:ascii="仿宋_GB2312" w:hAnsi="仿宋_GB2312" w:cs="仿宋_GB2312" w:eastAsia="仿宋_GB2312"/>
                    </w:rPr>
                    <w:t>3</w:t>
                  </w:r>
                </w:p>
              </w:tc>
              <w:tc>
                <w:tcPr>
                  <w:tcW w:type="dxa" w:w="638"/>
                </w:tcPr>
                <w:p>
                  <w:pPr>
                    <w:pStyle w:val="null3"/>
                  </w:pPr>
                  <w:r>
                    <w:rPr>
                      <w:rFonts w:ascii="仿宋_GB2312" w:hAnsi="仿宋_GB2312" w:cs="仿宋_GB2312" w:eastAsia="仿宋_GB2312"/>
                    </w:rPr>
                    <w:t>叶面肥</w:t>
                  </w:r>
                </w:p>
              </w:tc>
              <w:tc>
                <w:tcPr>
                  <w:tcW w:type="dxa" w:w="638"/>
                </w:tcPr>
                <w:p>
                  <w:pPr>
                    <w:pStyle w:val="null3"/>
                  </w:pPr>
                  <w:r>
                    <w:rPr>
                      <w:rFonts w:ascii="仿宋_GB2312" w:hAnsi="仿宋_GB2312" w:cs="仿宋_GB2312" w:eastAsia="仿宋_GB2312"/>
                    </w:rPr>
                    <w:t>按农业部登记的推荐剂量，计2.15万亩</w:t>
                  </w:r>
                </w:p>
              </w:tc>
              <w:tc>
                <w:tcPr>
                  <w:tcW w:type="dxa" w:w="638"/>
                </w:tcPr>
                <w:p>
                  <w:pPr>
                    <w:pStyle w:val="null3"/>
                  </w:pPr>
                  <w:r>
                    <w:rPr>
                      <w:rFonts w:ascii="仿宋_GB2312" w:hAnsi="仿宋_GB2312" w:cs="仿宋_GB2312" w:eastAsia="仿宋_GB2312"/>
                    </w:rPr>
                    <w:t>在作物上应用的水溶性速溶叶面肥磷酸二氢钾或氨基酸水溶肥等</w:t>
                  </w:r>
                </w:p>
              </w:tc>
            </w:tr>
            <w:tr>
              <w:tc>
                <w:tcPr>
                  <w:tcW w:type="dxa" w:w="638"/>
                </w:tcPr>
                <w:p>
                  <w:pPr>
                    <w:pStyle w:val="null3"/>
                  </w:pPr>
                  <w:r>
                    <w:rPr>
                      <w:rFonts w:ascii="仿宋_GB2312" w:hAnsi="仿宋_GB2312" w:cs="仿宋_GB2312" w:eastAsia="仿宋_GB2312"/>
                    </w:rPr>
                    <w:t>4</w:t>
                  </w:r>
                </w:p>
              </w:tc>
              <w:tc>
                <w:tcPr>
                  <w:tcW w:type="dxa" w:w="638"/>
                </w:tcPr>
                <w:p>
                  <w:pPr>
                    <w:pStyle w:val="null3"/>
                  </w:pPr>
                  <w:r>
                    <w:rPr>
                      <w:rFonts w:ascii="仿宋_GB2312" w:hAnsi="仿宋_GB2312" w:cs="仿宋_GB2312" w:eastAsia="仿宋_GB2312"/>
                    </w:rPr>
                    <w:t>生长调剂</w:t>
                  </w:r>
                </w:p>
              </w:tc>
              <w:tc>
                <w:tcPr>
                  <w:tcW w:type="dxa" w:w="638"/>
                </w:tcPr>
                <w:p>
                  <w:pPr>
                    <w:pStyle w:val="null3"/>
                  </w:pPr>
                  <w:r>
                    <w:rPr>
                      <w:rFonts w:ascii="仿宋_GB2312" w:hAnsi="仿宋_GB2312" w:cs="仿宋_GB2312" w:eastAsia="仿宋_GB2312"/>
                    </w:rPr>
                    <w:t>按农业部登记的推荐剂量，计2.15万亩</w:t>
                  </w:r>
                </w:p>
              </w:tc>
              <w:tc>
                <w:tcPr>
                  <w:tcW w:type="dxa" w:w="638"/>
                </w:tcPr>
                <w:p>
                  <w:pPr>
                    <w:pStyle w:val="null3"/>
                  </w:pPr>
                  <w:r>
                    <w:rPr>
                      <w:rFonts w:ascii="仿宋_GB2312" w:hAnsi="仿宋_GB2312" w:cs="仿宋_GB2312" w:eastAsia="仿宋_GB2312"/>
                    </w:rPr>
                    <w:t>芸苔素内酯或噻苯隆等</w:t>
                  </w:r>
                </w:p>
              </w:tc>
            </w:tr>
          </w:tbl>
          <w:p>
            <w:pPr>
              <w:pStyle w:val="null3"/>
            </w:pPr>
            <w:r>
              <w:rPr>
                <w:rFonts w:ascii="仿宋_GB2312" w:hAnsi="仿宋_GB2312" w:cs="仿宋_GB2312" w:eastAsia="仿宋_GB2312"/>
              </w:rPr>
              <w:t>4.服务面积</w:t>
            </w:r>
          </w:p>
          <w:p>
            <w:pPr>
              <w:pStyle w:val="null3"/>
            </w:pPr>
            <w:r>
              <w:rPr>
                <w:rFonts w:ascii="仿宋_GB2312" w:hAnsi="仿宋_GB2312" w:cs="仿宋_GB2312" w:eastAsia="仿宋_GB2312"/>
              </w:rPr>
              <w:t>一标段：玉米重大病虫害防治面积不少于2.15万亩；</w:t>
            </w:r>
          </w:p>
          <w:p>
            <w:pPr>
              <w:pStyle w:val="null3"/>
            </w:pPr>
            <w:r>
              <w:rPr>
                <w:rFonts w:ascii="仿宋_GB2312" w:hAnsi="仿宋_GB2312" w:cs="仿宋_GB2312" w:eastAsia="仿宋_GB2312"/>
              </w:rPr>
              <w:t>5.服务要求</w:t>
            </w:r>
          </w:p>
          <w:p>
            <w:pPr>
              <w:pStyle w:val="null3"/>
            </w:pPr>
            <w:r>
              <w:rPr>
                <w:rFonts w:ascii="仿宋_GB2312" w:hAnsi="仿宋_GB2312" w:cs="仿宋_GB2312" w:eastAsia="仿宋_GB2312"/>
              </w:rPr>
              <w:t>（1）玉米重大病虫防治以无人机为主的植保器械，作业能力强，制度健全，管理规范；蝗虫防治以风送式远程喷雾机和无人机相结合；</w:t>
            </w:r>
          </w:p>
          <w:p>
            <w:pPr>
              <w:pStyle w:val="null3"/>
            </w:pPr>
            <w:r>
              <w:rPr>
                <w:rFonts w:ascii="仿宋_GB2312" w:hAnsi="仿宋_GB2312" w:cs="仿宋_GB2312" w:eastAsia="仿宋_GB2312"/>
              </w:rPr>
              <w:t>（2）针对2025年玉米中后期病虫和秋蝗发生特点，科学制定技术方案和工作方案；</w:t>
            </w:r>
          </w:p>
          <w:p>
            <w:pPr>
              <w:pStyle w:val="null3"/>
            </w:pPr>
            <w:r>
              <w:rPr>
                <w:rFonts w:ascii="仿宋_GB2312" w:hAnsi="仿宋_GB2312" w:cs="仿宋_GB2312" w:eastAsia="仿宋_GB2312"/>
              </w:rPr>
              <w:t>（3）主要防治对象：玉米主要以防治玉米螟、粘虫、草地贪夜蛾、棉铃虫、蚜虫、大斑病、褐斑病、茎腐病等病虫害为主，兼顾促粒重，实现“一喷多促”；蝗虫主要防治秋残蝗；</w:t>
            </w:r>
          </w:p>
          <w:p>
            <w:pPr>
              <w:pStyle w:val="null3"/>
            </w:pPr>
            <w:r>
              <w:rPr>
                <w:rFonts w:ascii="仿宋_GB2312" w:hAnsi="仿宋_GB2312" w:cs="仿宋_GB2312" w:eastAsia="仿宋_GB2312"/>
              </w:rPr>
              <w:t>（4）选择的药剂要符合国家标准，三证齐全，高效低毒、安全环保；</w:t>
            </w:r>
          </w:p>
          <w:p>
            <w:pPr>
              <w:pStyle w:val="null3"/>
            </w:pPr>
            <w:r>
              <w:rPr>
                <w:rFonts w:ascii="仿宋_GB2312" w:hAnsi="仿宋_GB2312" w:cs="仿宋_GB2312" w:eastAsia="仿宋_GB2312"/>
              </w:rPr>
              <w:t>（5）要在玉米中后期病虫害和秋蝗防治的关键时期完成防治任务，总体防效达85%以上，危害损失率控制在4%以内。</w:t>
            </w:r>
          </w:p>
          <w:p>
            <w:pPr>
              <w:pStyle w:val="null3"/>
            </w:pPr>
            <w:r>
              <w:rPr>
                <w:rFonts w:ascii="仿宋_GB2312" w:hAnsi="仿宋_GB2312" w:cs="仿宋_GB2312" w:eastAsia="仿宋_GB2312"/>
              </w:rPr>
              <w:t>6、服务质量、标准、期限、效率等要求</w:t>
            </w:r>
          </w:p>
          <w:p>
            <w:pPr>
              <w:pStyle w:val="null3"/>
            </w:pPr>
            <w:r>
              <w:rPr>
                <w:rFonts w:ascii="仿宋_GB2312" w:hAnsi="仿宋_GB2312" w:cs="仿宋_GB2312" w:eastAsia="仿宋_GB2312"/>
              </w:rPr>
              <w:t>1、成交后，供应商派驻一名项目经理，一名技术负责人对作业过程中作业进度、服务质量、作业人员管理进行总协调，确保技术措施的落实，按时参加采购人组织的相关会议和活动，服从采购人的工作制度和工作规范。</w:t>
            </w:r>
          </w:p>
          <w:p>
            <w:pPr>
              <w:pStyle w:val="null3"/>
            </w:pPr>
            <w:r>
              <w:rPr>
                <w:rFonts w:ascii="仿宋_GB2312" w:hAnsi="仿宋_GB2312" w:cs="仿宋_GB2312" w:eastAsia="仿宋_GB2312"/>
              </w:rPr>
              <w:t>2、成交后，供应商向采购人提供项目作业计划和安全责任协议等，其内容包括管理机构的设置、各主要岗位的技术和管理员名单、资质、联系方式及各工种技术工人的安排、项目实施进度安排、技术措施等状况。</w:t>
            </w:r>
          </w:p>
          <w:p>
            <w:pPr>
              <w:pStyle w:val="null3"/>
            </w:pPr>
            <w:r>
              <w:rPr>
                <w:rFonts w:ascii="仿宋_GB2312" w:hAnsi="仿宋_GB2312" w:cs="仿宋_GB2312" w:eastAsia="仿宋_GB2312"/>
              </w:rPr>
              <w:t>3、严格按照项目要求进行作业，作业前按项目要求筹备各项防治器械、材料、工具等，按技术规定进行作业。</w:t>
            </w:r>
          </w:p>
          <w:p>
            <w:pPr>
              <w:pStyle w:val="null3"/>
            </w:pPr>
            <w:r>
              <w:rPr>
                <w:rFonts w:ascii="仿宋_GB2312" w:hAnsi="仿宋_GB2312" w:cs="仿宋_GB2312" w:eastAsia="仿宋_GB2312"/>
              </w:rPr>
              <w:t>4、协助采购人及时组织召开检查验收、防治效果评价和防治竣工验收工作会议。</w:t>
            </w:r>
          </w:p>
          <w:p>
            <w:pPr>
              <w:pStyle w:val="null3"/>
            </w:pPr>
            <w:r>
              <w:rPr>
                <w:rFonts w:ascii="仿宋_GB2312" w:hAnsi="仿宋_GB2312" w:cs="仿宋_GB2312" w:eastAsia="仿宋_GB2312"/>
              </w:rPr>
              <w:t>5、成交供应商向采购人提交施工作业过程性资料和工作总结报告，按相关要求执行。</w:t>
            </w:r>
          </w:p>
          <w:p>
            <w:pPr>
              <w:pStyle w:val="null3"/>
            </w:pPr>
            <w:r>
              <w:rPr>
                <w:rFonts w:ascii="仿宋_GB2312" w:hAnsi="仿宋_GB2312" w:cs="仿宋_GB2312" w:eastAsia="仿宋_GB2312"/>
              </w:rPr>
              <w:t>6、有各类突发事件的应急预案和措施，有明确具体的承诺。</w:t>
            </w:r>
          </w:p>
          <w:p>
            <w:pPr>
              <w:pStyle w:val="null3"/>
            </w:pPr>
            <w:r>
              <w:rPr>
                <w:rFonts w:ascii="仿宋_GB2312" w:hAnsi="仿宋_GB2312" w:cs="仿宋_GB2312" w:eastAsia="仿宋_GB2312"/>
              </w:rPr>
              <w:t>7、付款方式</w:t>
            </w:r>
          </w:p>
          <w:p>
            <w:pPr>
              <w:pStyle w:val="null3"/>
            </w:pPr>
            <w:r>
              <w:rPr>
                <w:rFonts w:ascii="仿宋_GB2312" w:hAnsi="仿宋_GB2312" w:cs="仿宋_GB2312" w:eastAsia="仿宋_GB2312"/>
              </w:rPr>
              <w:t>服务结束后经采购人邀请相关部门验收合格后，一次性付支付合同总价款的100%。</w:t>
            </w:r>
          </w:p>
          <w:p>
            <w:pPr>
              <w:pStyle w:val="null3"/>
            </w:pPr>
            <w:r>
              <w:rPr>
                <w:rFonts w:ascii="仿宋_GB2312" w:hAnsi="仿宋_GB2312" w:cs="仿宋_GB2312" w:eastAsia="仿宋_GB2312"/>
              </w:rPr>
              <w:t>8、验收标准</w:t>
            </w:r>
          </w:p>
          <w:p>
            <w:pPr>
              <w:pStyle w:val="null3"/>
            </w:pPr>
            <w:r>
              <w:rPr>
                <w:rFonts w:ascii="仿宋_GB2312" w:hAnsi="仿宋_GB2312" w:cs="仿宋_GB2312" w:eastAsia="仿宋_GB2312"/>
              </w:rPr>
              <w:t>1.质量标准：防治服务达到国家及行业验收合格标准。</w:t>
            </w:r>
          </w:p>
          <w:p>
            <w:pPr>
              <w:pStyle w:val="null3"/>
            </w:pPr>
            <w:r>
              <w:rPr>
                <w:rFonts w:ascii="仿宋_GB2312" w:hAnsi="仿宋_GB2312" w:cs="仿宋_GB2312" w:eastAsia="仿宋_GB2312"/>
              </w:rPr>
              <w:t>2.存在未防、漏防、防治效果未达到项目要求的，立即进行人工地面补防，如因未防、漏防、飞防未达到要求的或造成损失的，由供应商承担相应的法律责任。</w:t>
            </w:r>
          </w:p>
          <w:p>
            <w:pPr>
              <w:pStyle w:val="null3"/>
            </w:pPr>
            <w:r>
              <w:rPr>
                <w:rFonts w:ascii="仿宋_GB2312" w:hAnsi="仿宋_GB2312" w:cs="仿宋_GB2312" w:eastAsia="仿宋_GB2312"/>
              </w:rPr>
              <w:t>3.本项目由采购人及相关部门定期对项目进行阶段性验收。</w:t>
            </w:r>
          </w:p>
          <w:p>
            <w:pPr>
              <w:pStyle w:val="null3"/>
            </w:pPr>
            <w:r>
              <w:rPr>
                <w:rFonts w:ascii="仿宋_GB2312" w:hAnsi="仿宋_GB2312" w:cs="仿宋_GB2312" w:eastAsia="仿宋_GB2312"/>
              </w:rPr>
              <w:t>4.验收标准：按磋商文件、响应文件及澄清函、项目检查情况等综合指标进行验收。各项指标均应符合验收标准及要求。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提供全天候1小时响应服务，售后期内电话响应时间不小于10分钟，到达现场时间不超过8小时，解决问题不超过24小时；如故障无法排除，必须在48小时内提供备品、更换或退货，期间产生的费用由供应商负责。 2.供应商不得对服务业务分包或转包。否则采购人有权终止合同，供应商要承担由此造成的一切经济损失。 3.供应商不得在服务期间对项目管理人员进行更换，如遇特殊情况须经采购人同意；采购人发现项目管理人员工作不力时，有权提出更换人员，更换的人员必须及时到场。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 天内完成防治任务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渭南市临渭区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服务质量达到国家相关法律法规要求、磋商文件、磋商响应文件及采购人要求。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服务结束后经采购人邀请相关部门验收合格后，一次性付支付合同总价款的 100%。</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一、本项目一标段的最高限价为43万元（不可竞争费用），总价包括完成本次采购的所有费用，合同履行期内采购人不再增加任何费用； 单价最高限价：20元/亩。 备注：各供应商单价报价不能超过单价最高限价，否则按无效磋商处理 二、根据《政府采购法实施条例》释义，银行、保险、石油石化、电力、电信等有行业特殊情况的，允许法人的分支机构参加政府采购活动。 三、中标（成交）供应商在中标（成交）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供应商须提供合法有效，具有独立承担民事责任能力的证明材料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税收缴纳证明：提供响应文件递交截止时间前一年内任意一个月的缴费凭据；依法免税的应提供相关文件证明； 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具有履行合同的说明及承诺</w:t>
            </w:r>
          </w:p>
        </w:tc>
        <w:tc>
          <w:tcPr>
            <w:tcW w:type="dxa" w:w="3322"/>
          </w:tcPr>
          <w:p>
            <w:pPr>
              <w:pStyle w:val="null3"/>
            </w:pPr>
            <w:r>
              <w:rPr>
                <w:rFonts w:ascii="仿宋_GB2312" w:hAnsi="仿宋_GB2312" w:cs="仿宋_GB2312" w:eastAsia="仿宋_GB2312"/>
              </w:rPr>
              <w:t>须提供具有履行本合同所必需的设备和专业技术能力的说明或承诺；（承诺函格式自拟）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须提供参加政府采购活动前三年内在经营活动中无重大违法记录的书面声明；（声明函格式自拟）</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本项目专门面向中小企业采购，供应商应为中型、小型或微型企业。本标段所属行业：农、林、牧、渔业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法定代表人身份证明书或法定代表人授权书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法定代表人证明书与法定代表人授权书.docx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供应商不得为“信用中国”网站（www.creditchina.gov.cn）中列入失信被执行人和重大税收违法失信主体的供应商，不得为中国政府采购网（www.ccgp.gov.cn）中列入政府采购严重违法失信行为记录名单的供应商；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政府采购供应商拒绝政府采购领域商业贿赂承诺书.docx 残疾人福利性单位声明函 法定代表人证明书与法定代表人授权书.docx 服务方案 第一次报价表（1标段）.docx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第一次报价表（1标段）.docx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第一次报价表（1标段）.docx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无其他作无效磋商处理的情况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供应商承诺书.docx 响应文件封面 政府采购供应商拒绝政府采购领域商业贿赂承诺书.docx 残疾人福利性单位声明函 法定代表人证明书与法定代表人授权书.docx 服务方案 第一次报价表（1标段）.docx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评审内容（3分/项）： （1）实施方案整体思路及主要方案； （2）作业面的划分； （3）病虫害防治； （4）进度计划安排及保障措施； （5）整体管理措施。 评审标准： （1）针对性：符合本项目实际情况，专业性强、内容科学合理； （2）完整性：内容完整详细，条理清晰； （3）可实施性：安排及措施可实施性强。 赋分标准（15分）：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其他服务措施</w:t>
            </w:r>
          </w:p>
        </w:tc>
        <w:tc>
          <w:tcPr>
            <w:tcW w:type="dxa" w:w="2492"/>
          </w:tcPr>
          <w:p>
            <w:pPr>
              <w:pStyle w:val="null3"/>
            </w:pPr>
            <w:r>
              <w:rPr>
                <w:rFonts w:ascii="仿宋_GB2312" w:hAnsi="仿宋_GB2312" w:cs="仿宋_GB2312" w:eastAsia="仿宋_GB2312"/>
              </w:rPr>
              <w:t>评审内容（3分/项）： （1）根据本项目的实施内容，针对重点部位、重点区域、一般区域制定合理、完善、操作性强的作业计划； （2）对紧急或突发业务的应急保障措施； （3）综合协助措施。 评审标准： 1.完整性：保障措施内容齐全； 2.可实施性：措施内容可实施性强。 赋分标准（9分）： 按照供应商编制内容依据评审标准每项得3分；每有一项内容出现一处存在缺陷的扣1分，未提供得0分。(缺陷是指:存在不适用项目实际情况的情形、凭空编造、逻辑漏洞、前后不一、科学原理错误以及不可能实现的夸大情形、涉及内容无重点、未能体现出本项目的特点或与本项目实际需求不完全相符、语言错误或存在歧义、该方面内容体现不齐全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药剂</w:t>
            </w:r>
          </w:p>
        </w:tc>
        <w:tc>
          <w:tcPr>
            <w:tcW w:type="dxa" w:w="2492"/>
          </w:tcPr>
          <w:p>
            <w:pPr>
              <w:pStyle w:val="null3"/>
            </w:pPr>
            <w:r>
              <w:rPr>
                <w:rFonts w:ascii="仿宋_GB2312" w:hAnsi="仿宋_GB2312" w:cs="仿宋_GB2312" w:eastAsia="仿宋_GB2312"/>
              </w:rPr>
              <w:t>评审内容（5分/项）： （1）防控药剂必须是适宜本项目要求作业标准的药剂； （2）所选药剂符合国际、国家的标准和有关规定。药剂三证（农药登记证或农药临时登记证、农药生产许可证或农药生产批准文件、农药产品标准证）； 评审标准： 1.完整性：配置药剂齐全，符合服务要求； 2.合理性：依据服务需求及实际情况，配置符合标准的药剂。 赋分标准（10分）： （1）供应商配备的防护药剂满足服务基本要求得5分，未提供一项药剂扣1分，扣完为止； （2）药剂满足要求并提供证明材料得1分，否则不得分，最多得5分；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评审内容（5分/项）： （1）依据本项目服务内容提出的要求配置药剂喷洒设备； （2）药剂喷洒设备需提供证明材料（包括但不限于检测报告、设备配置图、官网或功能截图、彩页、说明书等相关资料）； 评审标准： 1.完整性：配置设备齐全，符合服务要求； 2.合理性：依据服务需求及实际情况，配置其他辅助设备。 赋分标准（10分）： （1）供应商配置设备满足服务基本要求得5分，未提供一项设备扣1分，扣完为止； （2）设备满足要求并提供证明材料得1分，否则不得分，最多得5；</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评审内容（1分/项）： （1）服务中严格按照国家及行业标准进行服务； （2）配合采购人进行汇报、验收、必要的外勤配合等工作； （3）及时响应本服务中采购人所需的远程指导及协助需求等。 评审标准： 1.完整性：措施、安排内容齐全； 2.合理性：提出的措施、响应时间及人员安排科学合理，符合实际情况。 赋分标准（3分）： 按照供应商编制内容依据评审标准酌情赋分，未提供得0分。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评审内容： 针对本项目服务内容提出的合理化建议。 评审标准： （1）针对性：能够紧扣项目实际情况，专业性强、内容科学合理； （2）可实施性：切合本项目实际情况，步骤明确、可操作性强。 赋分标准（3分）： 按照供应商编制内容依据评审标准酌情赋分，未提供得0分。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其他人员配备情况</w:t>
            </w:r>
          </w:p>
        </w:tc>
        <w:tc>
          <w:tcPr>
            <w:tcW w:type="dxa" w:w="2492"/>
          </w:tcPr>
          <w:p>
            <w:pPr>
              <w:pStyle w:val="null3"/>
            </w:pPr>
            <w:r>
              <w:rPr>
                <w:rFonts w:ascii="仿宋_GB2312" w:hAnsi="仿宋_GB2312" w:cs="仿宋_GB2312" w:eastAsia="仿宋_GB2312"/>
              </w:rPr>
              <w:t>评审内容： 依据本项目服务内容及相关要求，进行人员配备。 评审标准： （1）满足服务所需基本要求； （2）分工明确、安排合理、技能经验丰富等。 赋分标准（10分）： （1）满足本次服务基本人员要求得5分； （2）在此基础上每增加1名人员得1分，最多得5分；未提供或完全背离评审标准得0分。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供应商具有近三年（2022年8月至今）的类似项目业绩（以合同签订时间为准）每个计1分，最多计5分。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满足竞争性磋商文件要求且磋商价格最低的最终磋商报价为磋商基准价，得满分20分； (3) 磋商报价得分=(磋商基准价／最终磋商报价)×35%×100。 备注：当磋商小组认为某个供应商的报价明显低于其他通过符合性审查供应商的报价，有可能影响服务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第一次报价表（1标段）.docx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详见附件：第一次报价表（1标段）.docx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