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版本号：ZCSP-临渭区-2025-0019920250825001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渭南市马家沟生活垃圾填埋场渗沥液及填埋气体收集导排处理设备更新改造项目设计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ZCSP-临渭区-2025-00199</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渭南市马家沟生活垃圾填埋场渗沥液及填埋气体收集导排处理设备更新改造项目设计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渭南市马家沟生活垃圾填埋场渗沥液及填埋气体收集导排处理设备更新改造项目设计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根据马家沟生活垃圾填埋场渗沥液及填埋气体收集导排处理设施运行现状，按需进行初步设计、施工图设计及概算编制等服务。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附法定代表人及被授权人身份证复印件）。</w:t>
      </w:r>
    </w:p>
    <w:p>
      <w:pPr>
        <w:pStyle w:val="null3"/>
      </w:pPr>
      <w:r>
        <w:rPr>
          <w:rFonts w:ascii="仿宋_GB2312" w:hAnsi="仿宋_GB2312" w:cs="仿宋_GB2312" w:eastAsia="仿宋_GB2312"/>
        </w:rPr>
        <w:t>2、企业资质：供应商具有国家建设行政主管部门颁发的工程设计综合甲级资质或市政行业工程设计乙级及以上资质或环境工程设计专项资质乙级及以上；</w:t>
      </w:r>
    </w:p>
    <w:p>
      <w:pPr>
        <w:pStyle w:val="null3"/>
      </w:pPr>
      <w:r>
        <w:rPr>
          <w:rFonts w:ascii="仿宋_GB2312" w:hAnsi="仿宋_GB2312" w:cs="仿宋_GB2312" w:eastAsia="仿宋_GB2312"/>
        </w:rPr>
        <w:t>3、项目负责人：拟派项目负责人须具备相关专业中级及以上职称</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5、无控股管理承诺：单位负责人为同一人或者存在直接控股、管理关系的不同供应商，不得参加同一合同项下的政府采购活动。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6、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李小宝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0913-8139358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成交（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2、成果文件必须通过行业主管部门评审，同时，供应商在后续施工需配合服务。 3、本项目由采购人及相关部门定期对项目进行阶段性验收。 4、验收标准：按磋商文件、磋商响应文件及澄清函、项目检查情况等综合指标进行验收。各项指标均应符合验收标准及要求。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根据马家沟生活垃圾填埋场渗沥液及填埋气体收集导排处理设施运行现状，按需进行初步设计、施工图设计及概算编制等服务。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渭南市马家沟生活垃圾填埋场渗沥液及填埋气体收集导排处理设备更新改造项目设计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标的名称：渭南市马家沟生活垃圾填埋场渗沥液及填埋气体收集导排处理设备更新改造项目设计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根据马家沟生活垃圾填埋场渗沥液及填埋气体收集导排处理设施运行现状，按需进行初步设计、施工图设计及概算编制等服务。</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b/>
              </w:rPr>
              <w:t>服务</w:t>
            </w:r>
            <w:r>
              <w:rPr>
                <w:rFonts w:ascii="仿宋_GB2312" w:hAnsi="仿宋_GB2312" w:cs="仿宋_GB2312" w:eastAsia="仿宋_GB2312"/>
                <w:sz w:val="24"/>
                <w:b/>
              </w:rPr>
              <w:t>具体要求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01.供应商精心组织</w:t>
            </w:r>
            <w:r>
              <w:rPr>
                <w:rFonts w:ascii="仿宋_GB2312" w:hAnsi="仿宋_GB2312" w:cs="仿宋_GB2312" w:eastAsia="仿宋_GB2312"/>
                <w:sz w:val="24"/>
              </w:rPr>
              <w:t>设计服务方案</w:t>
            </w:r>
            <w:r>
              <w:rPr>
                <w:rFonts w:ascii="仿宋_GB2312" w:hAnsi="仿宋_GB2312" w:cs="仿宋_GB2312" w:eastAsia="仿宋_GB2312"/>
                <w:sz w:val="24"/>
              </w:rPr>
              <w:t>，保证设计的针对性和合理性，在实施过程中若发现异常情况，应立即向采购人和有关部门汇报，并提出处理意见；</w:t>
            </w:r>
          </w:p>
          <w:p>
            <w:pPr>
              <w:pStyle w:val="null3"/>
              <w:ind w:firstLine="480"/>
              <w:jc w:val="both"/>
            </w:pPr>
            <w:r>
              <w:rPr>
                <w:rFonts w:ascii="仿宋_GB2312" w:hAnsi="仿宋_GB2312" w:cs="仿宋_GB2312" w:eastAsia="仿宋_GB2312"/>
                <w:sz w:val="24"/>
              </w:rPr>
              <w:t>02.严格按照设计规范工作，达到国家与行业规范规定的设计要求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03.在施工过程中委派专人设计代表及时到达施工现场，及时进行或确认相应的变更。</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4</w:t>
            </w:r>
            <w:r>
              <w:rPr>
                <w:rFonts w:ascii="仿宋_GB2312" w:hAnsi="仿宋_GB2312" w:cs="仿宋_GB2312" w:eastAsia="仿宋_GB2312"/>
                <w:sz w:val="24"/>
              </w:rPr>
              <w:t>. 初步设计应满足</w:t>
            </w:r>
            <w:r>
              <w:rPr>
                <w:rFonts w:ascii="仿宋_GB2312" w:hAnsi="仿宋_GB2312" w:cs="仿宋_GB2312" w:eastAsia="仿宋_GB2312"/>
                <w:sz w:val="24"/>
              </w:rPr>
              <w:t>评审</w:t>
            </w:r>
            <w:r>
              <w:rPr>
                <w:rFonts w:ascii="仿宋_GB2312" w:hAnsi="仿宋_GB2312" w:cs="仿宋_GB2312" w:eastAsia="仿宋_GB2312"/>
                <w:sz w:val="24"/>
              </w:rPr>
              <w:t>的要求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5</w:t>
            </w:r>
            <w:r>
              <w:rPr>
                <w:rFonts w:ascii="仿宋_GB2312" w:hAnsi="仿宋_GB2312" w:cs="仿宋_GB2312" w:eastAsia="仿宋_GB2312"/>
                <w:sz w:val="24"/>
              </w:rPr>
              <w:t>. 初步设计应满足评审的要求;</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 施工图设计应达到指导施工的要求;</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7</w:t>
            </w:r>
            <w:r>
              <w:rPr>
                <w:rFonts w:ascii="仿宋_GB2312" w:hAnsi="仿宋_GB2312" w:cs="仿宋_GB2312" w:eastAsia="仿宋_GB2312"/>
                <w:sz w:val="24"/>
              </w:rPr>
              <w:t>. 施工图设计应通过施工图图纸审查合格的要求;</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 所有成果文件必须通过相关部门审批及评审；</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后期服务</w:t>
            </w:r>
            <w:r>
              <w:rPr>
                <w:rFonts w:ascii="仿宋_GB2312" w:hAnsi="仿宋_GB2312" w:cs="仿宋_GB2312" w:eastAsia="仿宋_GB2312"/>
                <w:sz w:val="24"/>
              </w:rPr>
              <w:t>：</w:t>
            </w:r>
            <w:r>
              <w:rPr>
                <w:rFonts w:ascii="仿宋_GB2312" w:hAnsi="仿宋_GB2312" w:cs="仿宋_GB2312" w:eastAsia="仿宋_GB2312"/>
                <w:sz w:val="24"/>
              </w:rPr>
              <w:t>全过程，从施工进场至交工验收。</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工程设计</w:t>
            </w:r>
            <w:r>
              <w:rPr>
                <w:rFonts w:ascii="仿宋_GB2312" w:hAnsi="仿宋_GB2312" w:cs="仿宋_GB2312" w:eastAsia="仿宋_GB2312"/>
                <w:sz w:val="24"/>
                <w:b/>
              </w:rPr>
              <w:t>标准</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成果要求</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.初步设计,深度应满足国家相关规定的要求; 提交4套初步设计文件（含电子版）;</w:t>
            </w:r>
          </w:p>
          <w:p>
            <w:pPr>
              <w:pStyle w:val="null3"/>
              <w:ind w:firstLine="480"/>
              <w:jc w:val="both"/>
            </w:pP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.提交初步设计概算4套（含电子版）;</w:t>
            </w:r>
          </w:p>
          <w:p>
            <w:pPr>
              <w:pStyle w:val="null3"/>
              <w:ind w:firstLine="480"/>
              <w:jc w:val="both"/>
            </w:pPr>
            <w:r>
              <w:rPr>
                <w:rFonts w:ascii="仿宋_GB2312" w:hAnsi="仿宋_GB2312" w:cs="仿宋_GB2312" w:eastAsia="仿宋_GB2312"/>
                <w:sz w:val="24"/>
              </w:rPr>
              <w:t>03.</w:t>
            </w:r>
            <w:r>
              <w:rPr>
                <w:rFonts w:ascii="仿宋_GB2312" w:hAnsi="仿宋_GB2312" w:cs="仿宋_GB2312" w:eastAsia="仿宋_GB2312"/>
                <w:sz w:val="24"/>
              </w:rPr>
              <w:t>施工图设计</w:t>
            </w:r>
            <w:r>
              <w:rPr>
                <w:rFonts w:ascii="仿宋_GB2312" w:hAnsi="仿宋_GB2312" w:cs="仿宋_GB2312" w:eastAsia="仿宋_GB2312"/>
                <w:sz w:val="24"/>
              </w:rPr>
              <w:t>,提交8套施工图图纸（含电子版）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服务周期</w:t>
            </w:r>
          </w:p>
          <w:p>
            <w:pPr>
              <w:pStyle w:val="null3"/>
              <w:ind w:firstLine="480"/>
              <w:jc w:val="both"/>
            </w:pPr>
            <w:r>
              <w:rPr>
                <w:rFonts w:ascii="仿宋_GB2312" w:hAnsi="仿宋_GB2312" w:cs="仿宋_GB2312" w:eastAsia="仿宋_GB2312"/>
                <w:sz w:val="24"/>
              </w:rPr>
              <w:t>01.</w:t>
            </w:r>
            <w:r>
              <w:rPr>
                <w:rFonts w:ascii="仿宋_GB2312" w:hAnsi="仿宋_GB2312" w:cs="仿宋_GB2312" w:eastAsia="仿宋_GB2312"/>
                <w:sz w:val="24"/>
              </w:rPr>
              <w:t>提交《初步设计及概算》初稿时间：合同签订后，设计人收到委托人提供的有关技术基础资料之日起</w:t>
            </w:r>
            <w:r>
              <w:rPr>
                <w:rFonts w:ascii="仿宋_GB2312" w:hAnsi="仿宋_GB2312" w:cs="仿宋_GB2312" w:eastAsia="仿宋_GB2312"/>
                <w:sz w:val="24"/>
              </w:rPr>
              <w:t>20</w:t>
            </w:r>
            <w:r>
              <w:rPr>
                <w:rFonts w:ascii="仿宋_GB2312" w:hAnsi="仿宋_GB2312" w:cs="仿宋_GB2312" w:eastAsia="仿宋_GB2312"/>
                <w:sz w:val="24"/>
              </w:rPr>
              <w:t>日内；</w:t>
            </w:r>
          </w:p>
          <w:p>
            <w:pPr>
              <w:pStyle w:val="null3"/>
              <w:ind w:firstLine="480"/>
              <w:jc w:val="both"/>
            </w:pPr>
            <w:r>
              <w:rPr>
                <w:rFonts w:ascii="仿宋_GB2312" w:hAnsi="仿宋_GB2312" w:cs="仿宋_GB2312" w:eastAsia="仿宋_GB2312"/>
                <w:sz w:val="24"/>
              </w:rPr>
              <w:t>02.</w:t>
            </w:r>
            <w:r>
              <w:rPr>
                <w:rFonts w:ascii="仿宋_GB2312" w:hAnsi="仿宋_GB2312" w:cs="仿宋_GB2312" w:eastAsia="仿宋_GB2312"/>
                <w:sz w:val="24"/>
              </w:rPr>
              <w:t>《施工图设计》：</w:t>
            </w:r>
            <w:r>
              <w:rPr>
                <w:rFonts w:ascii="仿宋_GB2312" w:hAnsi="仿宋_GB2312" w:cs="仿宋_GB2312" w:eastAsia="仿宋_GB2312"/>
                <w:sz w:val="24"/>
              </w:rPr>
              <w:t>10日历天(初步设计确认后开始计日期,评审时间不包括)。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施工配合阶段</w:t>
            </w:r>
          </w:p>
          <w:p>
            <w:pPr>
              <w:pStyle w:val="null3"/>
              <w:ind w:firstLine="480"/>
              <w:jc w:val="both"/>
            </w:pPr>
            <w:r>
              <w:rPr>
                <w:rFonts w:ascii="仿宋_GB2312" w:hAnsi="仿宋_GB2312" w:cs="仿宋_GB2312" w:eastAsia="仿宋_GB2312"/>
                <w:sz w:val="24"/>
              </w:rPr>
              <w:t>01.</w:t>
            </w:r>
            <w:r>
              <w:rPr>
                <w:rFonts w:ascii="仿宋_GB2312" w:hAnsi="仿宋_GB2312" w:cs="仿宋_GB2312" w:eastAsia="仿宋_GB2312"/>
                <w:sz w:val="24"/>
              </w:rPr>
              <w:t>负责工程设计交底，解答施工过程中施工单位有关施工图的问题，项目负责人及各专业设计负责人，及时对施工中与设计有关的问题做出回应，保证设计满足施工要求；</w:t>
            </w:r>
          </w:p>
          <w:p>
            <w:pPr>
              <w:pStyle w:val="null3"/>
              <w:ind w:firstLine="480"/>
              <w:jc w:val="both"/>
            </w:pPr>
            <w:r>
              <w:rPr>
                <w:rFonts w:ascii="仿宋_GB2312" w:hAnsi="仿宋_GB2312" w:cs="仿宋_GB2312" w:eastAsia="仿宋_GB2312"/>
                <w:sz w:val="24"/>
              </w:rPr>
              <w:t>02.</w:t>
            </w:r>
            <w:r>
              <w:rPr>
                <w:rFonts w:ascii="仿宋_GB2312" w:hAnsi="仿宋_GB2312" w:cs="仿宋_GB2312" w:eastAsia="仿宋_GB2312"/>
                <w:sz w:val="24"/>
              </w:rPr>
              <w:t>根据采购人要求，及时参加与设计有关的专题会，现场解决技术问题；</w:t>
            </w:r>
          </w:p>
          <w:p>
            <w:pPr>
              <w:pStyle w:val="null3"/>
              <w:ind w:firstLine="480"/>
              <w:jc w:val="both"/>
            </w:pPr>
            <w:r>
              <w:rPr>
                <w:rFonts w:ascii="仿宋_GB2312" w:hAnsi="仿宋_GB2312" w:cs="仿宋_GB2312" w:eastAsia="仿宋_GB2312"/>
                <w:sz w:val="24"/>
              </w:rPr>
              <w:t>03.</w:t>
            </w:r>
            <w:r>
              <w:rPr>
                <w:rFonts w:ascii="仿宋_GB2312" w:hAnsi="仿宋_GB2312" w:cs="仿宋_GB2312" w:eastAsia="仿宋_GB2312"/>
                <w:sz w:val="24"/>
              </w:rPr>
              <w:t>协助采购人处理工程洽商和设计变更，负责有关设计修改，及时办理相关手续；</w:t>
            </w:r>
          </w:p>
          <w:p>
            <w:pPr>
              <w:pStyle w:val="null3"/>
              <w:ind w:firstLine="480"/>
              <w:jc w:val="both"/>
            </w:pPr>
            <w:r>
              <w:rPr>
                <w:rFonts w:ascii="仿宋_GB2312" w:hAnsi="仿宋_GB2312" w:cs="仿宋_GB2312" w:eastAsia="仿宋_GB2312"/>
                <w:sz w:val="24"/>
              </w:rPr>
              <w:t>04.</w:t>
            </w:r>
            <w:r>
              <w:rPr>
                <w:rFonts w:ascii="仿宋_GB2312" w:hAnsi="仿宋_GB2312" w:cs="仿宋_GB2312" w:eastAsia="仿宋_GB2312"/>
                <w:sz w:val="24"/>
              </w:rPr>
              <w:t>参与与设计相关的必要的验收以及项目竣工验收工作，并及时办理相关手续</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rPr>
              <w:t>三、服务质量标准</w:t>
            </w:r>
          </w:p>
          <w:p>
            <w:pPr>
              <w:pStyle w:val="null3"/>
              <w:ind w:firstLine="480"/>
              <w:jc w:val="both"/>
            </w:pPr>
            <w:r>
              <w:rPr>
                <w:rFonts w:ascii="仿宋_GB2312" w:hAnsi="仿宋_GB2312" w:cs="仿宋_GB2312" w:eastAsia="仿宋_GB2312"/>
                <w:sz w:val="24"/>
              </w:rPr>
              <w:t>服务满足《市政公用工程设计文件编制深度规定》（</w:t>
            </w:r>
            <w:r>
              <w:rPr>
                <w:rFonts w:ascii="仿宋_GB2312" w:hAnsi="仿宋_GB2312" w:cs="仿宋_GB2312" w:eastAsia="仿宋_GB2312"/>
                <w:sz w:val="24"/>
              </w:rPr>
              <w:t>2025年版）、《生活垃圾卫生填埋处理工程项目建设标准》（建标151-2009）、《生活垃圾填埋场封场工程项目建设标准》（建标140-2010）、《生活垃圾处理处置工程项目规范》（GB 55012-2021）、《生活垃圾卫生填埋处理技术规范》（GB50869-2013）、《生活垃圾填埋场污染控制标准》（GB16889-2024）、《生活垃圾卫生填埋场环境监测技术要求》（GB/T 18772-2017）、《城市生活垃圾卫生填埋场运行维护技术规程》（CJJ 93-2011）、《生活垃圾填埋场渗沥液处理工程技术规范（试行）》（HJ564-2010）、《生活垃圾渗沥液处理技术标准》（CJJ/T150-2023）、《生活垃圾卫生填埋场封场技术规范》（GB 51220-2017）、《生活垃圾卫生填埋场防渗系统工程技术标准》（GBT 51403-2021）及其他相关的国家现行有关设计规范、规程和地方法规、标准。</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、验收</w:t>
            </w:r>
          </w:p>
          <w:p>
            <w:pPr>
              <w:pStyle w:val="null3"/>
              <w:ind w:firstLine="482"/>
              <w:jc w:val="both"/>
            </w:pPr>
            <w:r>
              <w:rPr>
                <w:rFonts w:ascii="仿宋_GB2312" w:hAnsi="仿宋_GB2312" w:cs="仿宋_GB2312" w:eastAsia="仿宋_GB2312"/>
                <w:sz w:val="24"/>
                <w:b/>
              </w:rPr>
              <w:t>1.验收</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满足符合国家相关设计规范、规程和有关技术规定。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成交人相关工作及配套服务必须保证科学、准确。</w:t>
            </w:r>
          </w:p>
          <w:p>
            <w:pPr>
              <w:pStyle w:val="null3"/>
              <w:ind w:firstLine="482"/>
              <w:jc w:val="both"/>
            </w:pPr>
            <w:r>
              <w:rPr>
                <w:rFonts w:ascii="仿宋_GB2312" w:hAnsi="仿宋_GB2312" w:cs="仿宋_GB2312" w:eastAsia="仿宋_GB2312"/>
                <w:sz w:val="24"/>
                <w:b/>
              </w:rPr>
              <w:t>2.验收依据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合同文本及合同补充文件（条款）；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服务的证明文件、佐证材料；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磋商文件；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成交人的响应文件；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rPr>
              <w:t>注：以上内容不能出现负偏离，否则按无效磋商处理。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1.严格按照设计规范工作，达到国家与行业规范规定的设计要求。 2.设计文件深度及质量满足建设部工程设计文件编制深度的规定。 3.根据采购人和上级主管部门审查意见，对各阶段设计文件进行修改完善，提交施工图设计文件。 4.按照采购人及建设单位规定时间和要求，提交施工招标（采购）所需的图纸、参考资料、施工专用技术规范等。 5.建设期间应向采购人及建设单位提供工程量复核、变更等必要的CAD等电子文件。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2、成果文件必须通过行业主管部门评审，同时，供应商在后续施工需配合服务。 3、本项目由采购人及相关部门定期对项目进行阶段性验收。 4、验收标准：按磋商文件、磋商响应文件及澄清函、项目检查情况等综合指标进行验收。各项指标均应符合验收标准及要求。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供应商完成全部设计内容并提供全套初步设计文件后，采购人支付至设计费用的50%；提交施工图纸后，采购人支付至设计费用的90%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项目验收合格后，采购人支付剩余10%设计费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供应商具有国家建设行政主管部门颁发的工程设计综合甲级资质或市政行业工程设计乙级及以上资质或环境工程设计专项资质乙级及以上；</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拟派项目负责人须具备相关专业中级及以上职称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满足磋商文件服务技术及商务要求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供应商针对本项目制定的总体方案，包含①项目需求理解；②设计重点难点分析；③设计工作技术路线及方法；④项目设计目标。 （二）评审标准： 1.完整性：总体实施方案须全面，思路清晰、分析透彻，内容完整、方案科学、合理； 2.可实施性：切合本项目实际情况，步骤明确、可操作性强； 3.针对性：总体方案能够紧扣项目实际情况，专业性强、内容科学、合理。 （三）赋分标准： （1）每一条评审内容完全满足评审标准得4分，满分16分； （2）每一条评审内容存在一处缺陷扣1分，扣完为止；“缺陷”是指存在内容不完整、套用其他项目内容、前后逻辑错误、不利于项目实施、科学原理或常识错误、不适用于本项目特性、与本项目采购需求无关的任意一种情形； （3）每一项评审内容不提供得0分。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（一）评审内容：供应商针对本项目制定的质量保障措施，包含①项目质量保障体系；②质量管控要求；③质量控制措施； （二）评审标准： 1.完整性：质量保障措施须全面，思路清晰、分析透彻，内容完整、科学、合理； 2.可实施性：切合本项目实际情况，步骤明确、可操作性强； 3.针对性：能够紧扣项目实际情况，专业性强、内容科学、合理。 （三）赋分标准： （1）每一条评审内容完全满足评审标准得4分，满分12分； （2）每一条评审内容存在一处缺陷扣1分，扣完为止；“缺陷”是指存在内容不完整、套用其他项目内容、前后逻辑错误、不利于项目实施、科学原理或常识错误、不适用于本项目特性、与本项目采购需求无关的任意一种情形； （3）每一项评审内容不提供得0分。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设计进度保障措施</w:t>
            </w:r>
          </w:p>
        </w:tc>
        <w:tc>
          <w:tcPr>
            <w:tcW w:type="dxa" w:w="2492"/>
          </w:tcPr>
          <w:p>
            <w:pPr>
              <w:pStyle w:val="null3"/>
            </w:pPr>
            <w:r>
              <w:rPr>
                <w:rFonts w:ascii="仿宋_GB2312" w:hAnsi="仿宋_GB2312" w:cs="仿宋_GB2312" w:eastAsia="仿宋_GB2312"/>
              </w:rPr>
              <w:t>（一）评审内容：供应商针对本项目制定的进度保障措施，包含①进度安排计划；②进度控制措施；③应急措施； （二）评审标准： 1.完整性：进度保障措施须全面，思路清晰、分析透彻，内容完整、科学、合理； 2.可实施性：切合本项目实际情况，步骤明确、可操作性强； 3.针对性：能够紧扣项目实际情况，专业性强、内容科学、合理。 （三）赋分标准： （1）每一条评审内容完全满足评审标准得4分，满分12分； （2）每一条评审内容存在一处缺陷扣1分，扣完为止；“缺陷”是指存在内容不完整、套用其他项目内容、前后逻辑错误、不利于项目实施、科学原理或常识错误、不适用于本项目特性、与本项目采购需求无关的任意一种情形； （3）每一项评审内容不提供得0分。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（一）评审内容：包含①施工配合阶段及验收的服务承诺；②保质保量完成的服务承诺；③配合后续事宜的服务承诺；④实施过程中风险评估应对的服务承诺。 （二）评审标准： 1.完整性：承诺须全面，思路清晰、分析透彻，内容完整、方案科学、合理； 2.可实施性：切合本项目实际情况，步骤明确、可操作性强； 3.针对性：承诺能够紧扣项目实际情况，专业性强、内容科学、合理。 （三）赋分标准： （1）每一条评审内容完全满足评审标准得4分，满分16分； （2）每一条评审内容存在一处缺陷扣1分，扣完为止；“缺陷”是指存在内容不完整、套用其他项目内容、前后逻辑错误、不利于项目实施、科学原理或常识错误、不适用于本项目特性、与本项目采购需求无关的任意一种情形； （3）每一项评审内容不提供得0分。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成果质量保障措施</w:t>
            </w:r>
          </w:p>
        </w:tc>
        <w:tc>
          <w:tcPr>
            <w:tcW w:type="dxa" w:w="2492"/>
          </w:tcPr>
          <w:p>
            <w:pPr>
              <w:pStyle w:val="null3"/>
            </w:pPr>
            <w:r>
              <w:rPr>
                <w:rFonts w:ascii="仿宋_GB2312" w:hAnsi="仿宋_GB2312" w:cs="仿宋_GB2312" w:eastAsia="仿宋_GB2312"/>
              </w:rPr>
              <w:t>（一）评审内容：包含①成果编制规范的保障措施；②成果资料编制详细、完整的保障措施；③成功文件达到国家相关标准的保障措施。 （二）评审标准： 1.完整性：措施须全面，思路清晰、分析透彻，内容完整、方案科学、合理； 2.可实施性：切合本项目实际情况，步骤明确、可操作性强； 3.针对性：承诺能够紧扣项目实际情况，专业性强、内容科学、合理。 （三）赋分标准： （1）每一条评审内容完全满足评审标准得4分，满分12分； （2）每一条评审内容存在一处缺陷扣1分，扣完为止；“缺陷”是指存在内容不完整、套用其他项目内容、前后逻辑错误、不利于项目实施、科学原理或常识错误、不适用于本项目特性、与本项目采购需求无关的任意一种情形； （3）每一项评审内容不提供得0分。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1.项目组成人员（除项目负责人）分工明确、责任明确，结构合理，每具有一个人员得0.5分，最高得4分。 2.项目组成人员中，每具有一个中级职称加0.5分,最高加2分；每具有一个高级职称加1分；本项最高加4分。 注：提供人员证明材料复印件，加盖单位鲜章，否则不得分。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供应商具有近三年（2022年8月至今）的类似项目业绩，每提供1个业绩得1分，本项目最高得4分。（提供合同复印件加盖单位公章，以合同签订时间为准。）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财库〔2020〕46号）、《财政部关于进一步加大政府采购支持中小企业力度的通知》（财库〔2022〕19号），对小型和微型企业产品的价格给予10%的扣除，用扣除后的价格参与评审。 2.参加政府采购活动且符合《政府采购促进中小企业发展管理办法》（财库〔2020〕46号）中小企业条件的企业应当提供本办法规定的《中小企业声明函》，否则不享受相关政策。 3.在本项目中，若服务的单位为符合政策要求的小型或微型企业，报价给予10%的扣除，用扣除后的价格参加评审。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