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版本号：JJX-2025-03520250829001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站南街道秦牛社区党群服务中心提升改造项目一期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JJX-2025-035</w:t>
      </w:r>
      <w:r>
        <w:br/>
      </w:r>
      <w:r>
        <w:br/>
      </w:r>
      <w:r>
        <w:br/>
      </w:r>
    </w:p>
    <w:p>
      <w:pPr>
        <w:pStyle w:val="null3"/>
        <w:jc w:val="center"/>
        <w:outlineLvl w:val="2"/>
      </w:pPr>
      <w:r>
        <w:rPr>
          <w:rFonts w:ascii="仿宋_GB2312" w:hAnsi="仿宋_GB2312" w:cs="仿宋_GB2312" w:eastAsia="仿宋_GB2312"/>
          <w:sz w:val="28"/>
          <w:b/>
        </w:rPr>
        <w:t>陕西省渭南市临渭区站南街道办事处</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陕西省渭南市临渭区站南街道办事处</w:t>
      </w:r>
      <w:r>
        <w:rPr>
          <w:rFonts w:ascii="仿宋_GB2312" w:hAnsi="仿宋_GB2312" w:cs="仿宋_GB2312" w:eastAsia="仿宋_GB2312"/>
        </w:rPr>
        <w:t>委托，拟对</w:t>
      </w:r>
      <w:r>
        <w:rPr>
          <w:rFonts w:ascii="仿宋_GB2312" w:hAnsi="仿宋_GB2312" w:cs="仿宋_GB2312" w:eastAsia="仿宋_GB2312"/>
        </w:rPr>
        <w:t>站南街道秦牛社区党群服务中心提升改造项目一期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JJX-2025-035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站南街道秦牛社区党群服务中心提升改造项目一期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为进一步提升社区服务效能,打造一个多功能、便民、舒适的社区党群服务中心；具体详见工程量清单。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采购包1（站南街道秦牛社区党群服务中心提升改造项目一期）：属于专门面向中小企业采购。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2、法人证明或法人授权委托书：法定代表人资格证明或法定代表人授权委托书原件、授权代表身份证复印件。</w:t>
      </w:r>
    </w:p>
    <w:p>
      <w:pPr>
        <w:pStyle w:val="null3"/>
      </w:pPr>
      <w:r>
        <w:rPr>
          <w:rFonts w:ascii="仿宋_GB2312" w:hAnsi="仿宋_GB2312" w:cs="仿宋_GB2312" w:eastAsia="仿宋_GB2312"/>
        </w:rPr>
        <w:t>3、供应商企业关系关联承诺书：供应商单位负责人为同一人或者存在直接控股、管理关系的不同供应商，不得参加同一合同项下的政府采购活动。</w:t>
      </w:r>
    </w:p>
    <w:p>
      <w:pPr>
        <w:pStyle w:val="null3"/>
      </w:pPr>
      <w:r>
        <w:rPr>
          <w:rFonts w:ascii="仿宋_GB2312" w:hAnsi="仿宋_GB2312" w:cs="仿宋_GB2312" w:eastAsia="仿宋_GB2312"/>
        </w:rPr>
        <w:t>4、项目负责人：项目负责人需具备建筑相关专业中级及以上职称，且未担任其他在建工程项目负责人。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陕西省渭南市临渭区站南街道办事处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渭南市临渭区站北路8号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渭南市临渭区站南街道办事处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0913-3106127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0913-2669977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国家发展和改革委员会办公厅关于招标代理服务收费有关问题的通知》（发改办价格〔2003〕857号）的规定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陕西省渭南市临渭区站南街道办事处</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陕西省渭南市临渭区站南街道办事处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陕西省渭南市临渭区站南街道办事处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联系电话：0913-2669977</w:t>
      </w:r>
    </w:p>
    <w:p>
      <w:pPr>
        <w:pStyle w:val="null3"/>
      </w:pPr>
      <w:r>
        <w:rPr>
          <w:rFonts w:ascii="仿宋_GB2312" w:hAnsi="仿宋_GB2312" w:cs="仿宋_GB2312" w:eastAsia="仿宋_GB2312"/>
        </w:rPr>
        <w:t>地址：陕西省渭南市临渭区玉德路豪庭佳苑南门东临四层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966,816.61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站南街道秦牛社区党群服务中心提升改造项目一期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标的名称：站南街道秦牛社区党群服务中心提升改造项目一期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8"/>
                <w:b/>
              </w:rPr>
              <w:t>一、</w:t>
            </w:r>
            <w:r>
              <w:rPr>
                <w:rFonts w:ascii="仿宋_GB2312" w:hAnsi="仿宋_GB2312" w:cs="仿宋_GB2312" w:eastAsia="仿宋_GB2312"/>
                <w:sz w:val="28"/>
                <w:b/>
              </w:rPr>
              <w:t>工程概况</w:t>
            </w:r>
          </w:p>
          <w:p>
            <w:pPr>
              <w:pStyle w:val="null3"/>
              <w:ind w:firstLine="560"/>
              <w:jc w:val="left"/>
            </w:pPr>
            <w:r>
              <w:rPr>
                <w:rFonts w:ascii="仿宋_GB2312" w:hAnsi="仿宋_GB2312" w:cs="仿宋_GB2312" w:eastAsia="仿宋_GB2312"/>
                <w:sz w:val="28"/>
              </w:rPr>
              <w:t>站南街道秦牛社区党群服务中心提升改造项目一期包含室外地面，楼梯阳光板遮阳通道，车棚、铝单板造型，外墙真石漆、屋面防水、室内精装及安装电气设备工程、给排水工程、弱电工程等；</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站南街道秦牛社区党群服务中心提升改造项目一期</w:t>
            </w:r>
            <w:r>
              <w:rPr>
                <w:rFonts w:ascii="仿宋_GB2312" w:hAnsi="仿宋_GB2312" w:cs="仿宋_GB2312" w:eastAsia="仿宋_GB2312"/>
                <w:sz w:val="28"/>
              </w:rPr>
              <w:t>相关</w:t>
            </w:r>
            <w:r>
              <w:rPr>
                <w:rFonts w:ascii="仿宋_GB2312" w:hAnsi="仿宋_GB2312" w:cs="仿宋_GB2312" w:eastAsia="仿宋_GB2312"/>
                <w:sz w:val="28"/>
              </w:rPr>
              <w:t>资料</w:t>
            </w:r>
            <w:r>
              <w:rPr>
                <w:rFonts w:ascii="仿宋_GB2312" w:hAnsi="仿宋_GB2312" w:cs="仿宋_GB2312" w:eastAsia="仿宋_GB2312"/>
                <w:sz w:val="28"/>
              </w:rPr>
              <w:t>及图纸</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2、《陕西省房屋建筑与装饰工程消耗量定额（2025）》、《陕西省通用安装工程消耗量定额（2025）》及其配套文件中的工程量清单计价标准及计算标准(2025)；</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陕建管发〔</w:t>
            </w:r>
            <w:r>
              <w:rPr>
                <w:rFonts w:ascii="仿宋_GB2312" w:hAnsi="仿宋_GB2312" w:cs="仿宋_GB2312" w:eastAsia="仿宋_GB2312"/>
                <w:sz w:val="28"/>
              </w:rPr>
              <w:t>2025〕10号文件《陕西省住房和城乡建设厅关于印发2025陕西省建设工程费用规则等计价依据的通知》；</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、陕西省建设工程费用规则〔</w:t>
            </w:r>
            <w:r>
              <w:rPr>
                <w:rFonts w:ascii="仿宋_GB2312" w:hAnsi="仿宋_GB2312" w:cs="仿宋_GB2312" w:eastAsia="仿宋_GB2312"/>
                <w:sz w:val="28"/>
              </w:rPr>
              <w:t>2025〕本规则是陕西省建设工程计价依据的组成部分，应与陕西省各专业工程消耗量定额〔2025〕及各专业工程基价表〔2025〕配套使用</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主要材料价格</w:t>
            </w:r>
            <w:r>
              <w:rPr>
                <w:rFonts w:ascii="仿宋_GB2312" w:hAnsi="仿宋_GB2312" w:cs="仿宋_GB2312" w:eastAsia="仿宋_GB2312"/>
                <w:sz w:val="28"/>
              </w:rPr>
              <w:t>按</w:t>
            </w:r>
            <w:r>
              <w:rPr>
                <w:rFonts w:ascii="仿宋_GB2312" w:hAnsi="仿宋_GB2312" w:cs="仿宋_GB2312" w:eastAsia="仿宋_GB2312"/>
                <w:sz w:val="28"/>
              </w:rPr>
              <w:t>2025</w:t>
            </w:r>
            <w:r>
              <w:rPr>
                <w:rFonts w:ascii="仿宋_GB2312" w:hAnsi="仿宋_GB2312" w:cs="仿宋_GB2312" w:eastAsia="仿宋_GB2312"/>
                <w:sz w:val="28"/>
              </w:rPr>
              <w:t>年</w:t>
            </w:r>
            <w:r>
              <w:rPr>
                <w:rFonts w:ascii="仿宋_GB2312" w:hAnsi="仿宋_GB2312" w:cs="仿宋_GB2312" w:eastAsia="仿宋_GB2312"/>
                <w:sz w:val="28"/>
              </w:rPr>
              <w:t>第</w:t>
            </w:r>
            <w:r>
              <w:rPr>
                <w:rFonts w:ascii="仿宋_GB2312" w:hAnsi="仿宋_GB2312" w:cs="仿宋_GB2312" w:eastAsia="仿宋_GB2312"/>
                <w:sz w:val="28"/>
              </w:rPr>
              <w:t>3</w:t>
            </w:r>
            <w:r>
              <w:rPr>
                <w:rFonts w:ascii="仿宋_GB2312" w:hAnsi="仿宋_GB2312" w:cs="仿宋_GB2312" w:eastAsia="仿宋_GB2312"/>
                <w:sz w:val="28"/>
              </w:rPr>
              <w:t>期</w:t>
            </w:r>
            <w:r>
              <w:rPr>
                <w:rFonts w:ascii="仿宋_GB2312" w:hAnsi="仿宋_GB2312" w:cs="仿宋_GB2312" w:eastAsia="仿宋_GB2312"/>
                <w:sz w:val="28"/>
              </w:rPr>
              <w:t>渭</w:t>
            </w:r>
            <w:r>
              <w:rPr>
                <w:rFonts w:ascii="仿宋_GB2312" w:hAnsi="仿宋_GB2312" w:cs="仿宋_GB2312" w:eastAsia="仿宋_GB2312"/>
                <w:sz w:val="28"/>
              </w:rPr>
              <w:t>南建设工程</w:t>
            </w:r>
            <w:r>
              <w:rPr>
                <w:rFonts w:ascii="仿宋_GB2312" w:hAnsi="仿宋_GB2312" w:cs="仿宋_GB2312" w:eastAsia="仿宋_GB2312"/>
                <w:sz w:val="28"/>
              </w:rPr>
              <w:t>信息价，工程造价信息</w:t>
            </w:r>
            <w:r>
              <w:rPr>
                <w:rFonts w:ascii="仿宋_GB2312" w:hAnsi="仿宋_GB2312" w:cs="仿宋_GB2312" w:eastAsia="仿宋_GB2312"/>
                <w:sz w:val="28"/>
              </w:rPr>
              <w:t>中</w:t>
            </w:r>
            <w:r>
              <w:rPr>
                <w:rFonts w:ascii="仿宋_GB2312" w:hAnsi="仿宋_GB2312" w:cs="仿宋_GB2312" w:eastAsia="仿宋_GB2312"/>
                <w:sz w:val="28"/>
              </w:rPr>
              <w:t>没有发布的参照</w:t>
            </w:r>
            <w:r>
              <w:rPr>
                <w:rFonts w:ascii="仿宋_GB2312" w:hAnsi="仿宋_GB2312" w:cs="仿宋_GB2312" w:eastAsia="仿宋_GB2312"/>
                <w:sz w:val="28"/>
              </w:rPr>
              <w:t>工程所在地近期</w:t>
            </w:r>
            <w:r>
              <w:rPr>
                <w:rFonts w:ascii="仿宋_GB2312" w:hAnsi="仿宋_GB2312" w:cs="仿宋_GB2312" w:eastAsia="仿宋_GB2312"/>
                <w:sz w:val="28"/>
              </w:rPr>
              <w:t>市场价</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、现行相关的专业工程施工质量验收规范、标准、规定、图集、技术资料，以及正常的施工组织，施工工艺等。</w:t>
            </w:r>
          </w:p>
          <w:p>
            <w:pPr>
              <w:pStyle w:val="null3"/>
              <w:jc w:val="left"/>
            </w:pPr>
            <w:r>
              <w:rPr>
                <w:rFonts w:ascii="仿宋_GB2312" w:hAnsi="仿宋_GB2312" w:cs="仿宋_GB2312" w:eastAsia="仿宋_GB2312"/>
                <w:sz w:val="28"/>
                <w:b/>
              </w:rPr>
              <w:t>三、其他部分</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、本工程采用商品混凝土</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2、垃圾外运暂按10km计取；</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工程量清单计价软件采用广联达工程量清单计价软件</w:t>
            </w:r>
            <w:r>
              <w:rPr>
                <w:rFonts w:ascii="仿宋_GB2312" w:hAnsi="仿宋_GB2312" w:cs="仿宋_GB2312" w:eastAsia="仿宋_GB2312"/>
                <w:sz w:val="28"/>
              </w:rPr>
              <w:t>—广联达云计价平台GCCP7.0（版本：</w:t>
            </w:r>
            <w:r>
              <w:rPr>
                <w:rFonts w:ascii="仿宋_GB2312" w:hAnsi="仿宋_GB2312" w:cs="仿宋_GB2312" w:eastAsia="仿宋_GB2312"/>
                <w:sz w:val="28"/>
              </w:rPr>
              <w:t>7.5000.23.1</w:t>
            </w:r>
            <w:r>
              <w:rPr>
                <w:rFonts w:ascii="仿宋_GB2312" w:hAnsi="仿宋_GB2312" w:cs="仿宋_GB2312" w:eastAsia="仿宋_GB2312"/>
                <w:sz w:val="28"/>
              </w:rPr>
              <w:t>）</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四、工程量清单另付。</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详见技术参数及要求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已标价工程量清单应按我省最新计划规范要求，在规定位置加盖投标单位公章及投标单位造价师加盖执业资格章并由造价师签字。（委托具有造价编制能力的咨询单位编制已标价工程量清单的，应按我省最新计价规范要求加盖造价编制单位公章，并且其编制单位造价人员或造价师加盖执业资格章及签字，同时已标价工程量清单封皮加盖投标单位公章，并附双方委托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财务报告（成立时间至开标时间不足一年的可提供成立后任意时段的资产负债表）或开标前半年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提供2025年1月1日至今任意一个月依法缴纳税收和社会保障资金的相关材料。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合同履约能力</w:t>
            </w:r>
          </w:p>
        </w:tc>
        <w:tc>
          <w:tcPr>
            <w:tcW w:type="dxa" w:w="3322"/>
          </w:tcPr>
          <w:p>
            <w:pPr>
              <w:pStyle w:val="null3"/>
            </w:pPr>
            <w:r>
              <w:rPr>
                <w:rFonts w:ascii="仿宋_GB2312" w:hAnsi="仿宋_GB2312" w:cs="仿宋_GB2312" w:eastAsia="仿宋_GB2312"/>
              </w:rPr>
              <w:t>具备履行合同所必需的设备和专业技术能力的证明材料：提供承诺函。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没有重大违法记录的书面说明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供应商单位负责人为同一人或者存在直接控股、管理关系的不同供应商，不得参加同一合同项下的政府采购活动。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项目负责人需具备建筑相关专业中级及以上职称，且未担任其他在建工程项目负责人。</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供应商名称和公章、营业执照的相关资料一致</w:t>
            </w:r>
          </w:p>
        </w:tc>
        <w:tc>
          <w:tcPr>
            <w:tcW w:type="dxa" w:w="1661"/>
          </w:tcPr>
          <w:p>
            <w:pPr>
              <w:pStyle w:val="null3"/>
            </w:pPr>
            <w:r>
              <w:rPr>
                <w:rFonts w:ascii="仿宋_GB2312" w:hAnsi="仿宋_GB2312" w:cs="仿宋_GB2312" w:eastAsia="仿宋_GB2312"/>
              </w:rPr>
              <w:t>响应文件封面 中小企业声明函 残疾人福利性单位声明函 报价函 商务要求响应表.docx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已标价工程量清单 中小企业声明函 服务承诺.docx 商务要求响应表.docx 响应文件封面 应急预案.docx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自响应文件递交截止之日起90日历天</w:t>
            </w:r>
          </w:p>
        </w:tc>
        <w:tc>
          <w:tcPr>
            <w:tcW w:type="dxa" w:w="1661"/>
          </w:tcPr>
          <w:p>
            <w:pPr>
              <w:pStyle w:val="null3"/>
            </w:pPr>
            <w:r>
              <w:rPr>
                <w:rFonts w:ascii="仿宋_GB2312" w:hAnsi="仿宋_GB2312" w:cs="仿宋_GB2312" w:eastAsia="仿宋_GB2312"/>
              </w:rPr>
              <w:t>商务要求响应表.docx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100日历天</w:t>
            </w:r>
          </w:p>
        </w:tc>
        <w:tc>
          <w:tcPr>
            <w:tcW w:type="dxa" w:w="1661"/>
          </w:tcPr>
          <w:p>
            <w:pPr>
              <w:pStyle w:val="null3"/>
            </w:pPr>
            <w:r>
              <w:rPr>
                <w:rFonts w:ascii="仿宋_GB2312" w:hAnsi="仿宋_GB2312" w:cs="仿宋_GB2312" w:eastAsia="仿宋_GB2312"/>
              </w:rPr>
              <w:t>报价函 商务要求响应表.docx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商务要求响应表.docx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针对本项目提供具体可行的施工方案，包括但不限于：①提供详细的施工方案；②拟投入的施工设施、设备及配置情况；③施工进度计划安排：④施工工作质量、安全、进度控制保障措施：⑤数据及资料管理方案；⑥组织协调内容及措施；⑦工作重点与难点分析及对应措施；⑧拟投入人员配备。 评审标准： 提供详细、合理、科学可行的方案，方案符合本项目采购需求有针对性，以上8项，以序号①-⑧为项数，内容无缺项、无漏项且无缺陷的得48分，其中每有一项内容存在缺项或漏项的扣6分，每项内容中每有一处存在缺陷的扣3分，该项分值扣完为止，未提供不得分。 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48.0000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 针对本项目提供具体可行的应急预案，包括但不限于： ①详细应急保障及应急处理团队； ②针对突发事件及紧急情况（包括防火、防盗、防骗、防事故，发生冰雹、暴雪、暴雨等灾害性天气，地震、火灾及停水、停电等其他突发事件）的应急预案； ③应急处理程序及设施设备。 评审标准： 提供详细、合理、科学可行的方案，方案符合本项目采购需求有针对性，以上2项，以序号①-②为项数，内容无缺项、无漏项且无缺陷的得6分，其中每有一项内容存在缺项或漏项的扣3分，每项内容中每有一处存在缺陷的扣1分，该项分值扣完为止，未提供不得分。 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针对本项目提供具体可行的服务承诺及合理化建议，包括但不限于①服务质量承诺；②服务响应时限、人员到位、安全保障、不能完全履行承诺时愿意接受相关处罚等以及其他服务的承诺；③有利于本项目实施的合理化建议。 评审标准： 提供详细、合理、科学可行的方案，方案符合本项目采购需求有针对性，以上3项，以序号①-③为项数，内容无缺项、无漏项且无缺陷的得6分，其中每有一项内容存在缺项或漏项的扣2分，每项内容中每有一处存在缺陷的扣1分，该项分值扣完为止，未提供不得分。 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供应商具有2022年1月1日至今的类似项目业绩证明文件（以合同签订时间为准），提供合同复印件加盖公章，每提供一份得2分，满分10分。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1.满足磋商文件实质性要求且最终报价最低的供应商的价格为磋商基准价，其价格分为满分30分。 2.磋商报价得分=（磋商基准价/最终磋商报价）×30的公式计算得分。 3.磋商报价不完整的，不进入评标标准价的计算，本项得0分。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