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版本号：ZCSP-临渭区-2025-0020820250909002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垃圾压缩箱采购项目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ZCSP-临渭区-2025-00208</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垃圾压缩箱采购项目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垃圾压缩箱采购项目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为满足临渭区环境卫生管理中心工作的需要，提升环卫基础设施建设，改善城区及周边环境。本项目计划采购10台移动式垃圾压缩箱。</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0913-8139358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2.所有设备均已运输至指定地点，并安装调试完毕。 3.招标文件、投标人承诺及采购合同约定的附件、工具、技术资料等齐全；提供产品使用说明书、合格证。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为满足临渭区环境卫生管理中心工作的需要，提升环卫基础设施建设，改善城区及周边环境。本项目计划采购10台移动式垃圾压缩箱。</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2,820,000.00</w:t>
      </w:r>
    </w:p>
    <w:p>
      <w:pPr>
        <w:pStyle w:val="null3"/>
      </w:pPr>
      <w:r>
        <w:rPr>
          <w:rFonts w:ascii="仿宋_GB2312" w:hAnsi="仿宋_GB2312" w:cs="仿宋_GB2312" w:eastAsia="仿宋_GB2312"/>
        </w:rPr>
        <w:t>采购包最高限价（元）: 2,820,000.00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垃圾压缩箱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2,820,000.00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标的名称：垃圾压缩箱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一、采购内容及数量</w:t>
            </w:r>
          </w:p>
          <w:p>
            <w:pPr>
              <w:pStyle w:val="null3"/>
              <w:ind w:firstLine="480"/>
              <w:jc w:val="both"/>
            </w:pPr>
            <w:r>
              <w:rPr>
                <w:rFonts w:ascii="仿宋_GB2312" w:hAnsi="仿宋_GB2312" w:cs="仿宋_GB2312" w:eastAsia="仿宋_GB2312"/>
                <w:sz w:val="24"/>
                <w:color w:val="993300"/>
              </w:rPr>
              <w:t>为满足临渭区环境卫生管理中心工作的需要，提升环卫基础设施建设，改善城区及周边环境。本项目计划采购</w:t>
            </w:r>
            <w:r>
              <w:rPr>
                <w:rFonts w:ascii="仿宋_GB2312" w:hAnsi="仿宋_GB2312" w:cs="仿宋_GB2312" w:eastAsia="仿宋_GB2312"/>
                <w:sz w:val="24"/>
                <w:color w:val="993300"/>
              </w:rPr>
              <w:t>10台移动式垃圾压缩箱。</w:t>
            </w:r>
          </w:p>
          <w:p>
            <w:pPr>
              <w:pStyle w:val="null3"/>
              <w:ind w:firstLine="482"/>
              <w:jc w:val="both"/>
            </w:pPr>
            <w:r>
              <w:rPr>
                <w:rFonts w:ascii="仿宋_GB2312" w:hAnsi="仿宋_GB2312" w:cs="仿宋_GB2312" w:eastAsia="仿宋_GB2312"/>
                <w:sz w:val="24"/>
                <w:b/>
                <w:color w:val="993300"/>
              </w:rPr>
              <w:t>二、产品技术要求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、技术参数要求</w:t>
            </w:r>
          </w:p>
          <w:tbl>
            <w:tblPr>
              <w:tblBorders>
                <w:top w:val="none" w:color="000000" w:sz="4"/>
                <w:left w:val="none" w:color="000000" w:sz="4"/>
                <w:bottom w:val="none" w:color="000000" w:sz="4"/>
                <w:right w:val="none" w:color="000000" w:sz="4"/>
                <w:insideH w:val="none"/>
                <w:insideV w:val="none"/>
              </w:tblBorders>
            </w:tblPr>
            <w:tblGrid>
              <w:gridCol w:w="200"/>
              <w:gridCol w:w="532"/>
              <w:gridCol w:w="366"/>
              <w:gridCol w:w="1440"/>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w:t>
                  </w:r>
                  <w:r>
                    <w:rPr>
                      <w:rFonts w:ascii="仿宋_GB2312" w:hAnsi="仿宋_GB2312" w:cs="仿宋_GB2312" w:eastAsia="仿宋_GB2312"/>
                      <w:sz w:val="24"/>
                    </w:rPr>
                    <w:t>要求</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处理压缩方式</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水平压缩式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处理垃圾量（</w:t>
                  </w:r>
                  <w:r>
                    <w:rPr>
                      <w:rFonts w:ascii="仿宋_GB2312" w:hAnsi="仿宋_GB2312" w:cs="仿宋_GB2312" w:eastAsia="仿宋_GB2312"/>
                      <w:sz w:val="24"/>
                    </w:rPr>
                    <w:t>m³/h）</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日处理垃圾量（</w:t>
                  </w:r>
                  <w:r>
                    <w:rPr>
                      <w:rFonts w:ascii="仿宋_GB2312" w:hAnsi="仿宋_GB2312" w:cs="仿宋_GB2312" w:eastAsia="仿宋_GB2312"/>
                      <w:sz w:val="24"/>
                    </w:rPr>
                    <w:t>m³）</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0(</w:t>
                  </w:r>
                  <w:r>
                    <w:rPr>
                      <w:rFonts w:ascii="仿宋_GB2312" w:hAnsi="仿宋_GB2312" w:cs="仿宋_GB2312" w:eastAsia="仿宋_GB2312"/>
                      <w:sz w:val="24"/>
                    </w:rPr>
                    <w:t>8h</w:t>
                  </w:r>
                  <w:r>
                    <w:rPr>
                      <w:rFonts w:ascii="仿宋_GB2312" w:hAnsi="仿宋_GB2312" w:cs="仿宋_GB2312" w:eastAsia="仿宋_GB2312"/>
                      <w:sz w:val="24"/>
                    </w:rPr>
                    <w:t>)</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垃圾箱容积（</w:t>
                  </w:r>
                  <w:r>
                    <w:rPr>
                      <w:rFonts w:ascii="仿宋_GB2312" w:hAnsi="仿宋_GB2312" w:cs="仿宋_GB2312" w:eastAsia="仿宋_GB2312"/>
                      <w:sz w:val="24"/>
                    </w:rPr>
                    <w:t>m³</w:t>
                  </w:r>
                  <w:r>
                    <w:rPr>
                      <w:rFonts w:ascii="仿宋_GB2312" w:hAnsi="仿宋_GB2312" w:cs="仿宋_GB2312" w:eastAsia="仿宋_GB2312"/>
                      <w:sz w:val="24"/>
                    </w:rPr>
                    <w:t>）</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结构尺寸（翻斗翻起状态）</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w:t>
                  </w:r>
                  <w:r>
                    <w:rPr>
                      <w:rFonts w:ascii="仿宋_GB2312" w:hAnsi="仿宋_GB2312" w:cs="仿宋_GB2312" w:eastAsia="仿宋_GB2312"/>
                      <w:sz w:val="24"/>
                    </w:rPr>
                    <w:t>mm）</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400</w:t>
                  </w:r>
                </w:p>
              </w:tc>
            </w:tr>
            <w:tr>
              <w:tc>
                <w:tcPr>
                  <w:tcW w:type="dxa" w:w="20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宽（</w:t>
                  </w:r>
                  <w:r>
                    <w:rPr>
                      <w:rFonts w:ascii="仿宋_GB2312" w:hAnsi="仿宋_GB2312" w:cs="仿宋_GB2312" w:eastAsia="仿宋_GB2312"/>
                      <w:sz w:val="24"/>
                    </w:rPr>
                    <w:t>mm）</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5</w:t>
                  </w:r>
                  <w:r>
                    <w:rPr>
                      <w:rFonts w:ascii="仿宋_GB2312" w:hAnsi="仿宋_GB2312" w:cs="仿宋_GB2312" w:eastAsia="仿宋_GB2312"/>
                      <w:sz w:val="24"/>
                    </w:rPr>
                    <w:t>0</w:t>
                  </w:r>
                </w:p>
              </w:tc>
            </w:tr>
            <w:tr>
              <w:tc>
                <w:tcPr>
                  <w:tcW w:type="dxa" w:w="20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w:t>
                  </w:r>
                  <w:r>
                    <w:rPr>
                      <w:rFonts w:ascii="仿宋_GB2312" w:hAnsi="仿宋_GB2312" w:cs="仿宋_GB2312" w:eastAsia="仿宋_GB2312"/>
                      <w:sz w:val="24"/>
                    </w:rPr>
                    <w:t>mm）</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50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6</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箱体钢板厚度（</w:t>
                  </w:r>
                  <w:r>
                    <w:rPr>
                      <w:rFonts w:ascii="仿宋_GB2312" w:hAnsi="仿宋_GB2312" w:cs="仿宋_GB2312" w:eastAsia="仿宋_GB2312"/>
                      <w:sz w:val="24"/>
                    </w:rPr>
                    <w:t>mm）</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顶板</w:t>
                  </w:r>
                  <w:r>
                    <w:rPr>
                      <w:rFonts w:ascii="仿宋_GB2312" w:hAnsi="仿宋_GB2312" w:cs="仿宋_GB2312" w:eastAsia="仿宋_GB2312"/>
                      <w:sz w:val="24"/>
                    </w:rPr>
                    <w:t>≥4、侧板≥5、底板≥6</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空载箱体重量（</w:t>
                  </w:r>
                  <w:r>
                    <w:rPr>
                      <w:rFonts w:ascii="仿宋_GB2312" w:hAnsi="仿宋_GB2312" w:cs="仿宋_GB2312" w:eastAsia="仿宋_GB2312"/>
                      <w:sz w:val="24"/>
                    </w:rPr>
                    <w:t>kg）</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rPr>
                    <w:t>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起吊环中心高（</w:t>
                  </w:r>
                  <w:r>
                    <w:rPr>
                      <w:rFonts w:ascii="仿宋_GB2312" w:hAnsi="仿宋_GB2312" w:cs="仿宋_GB2312" w:eastAsia="仿宋_GB2312"/>
                      <w:sz w:val="24"/>
                    </w:rPr>
                    <w:t>mm）</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≥1570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箱体导轨外宽（</w:t>
                  </w:r>
                  <w:r>
                    <w:rPr>
                      <w:rFonts w:ascii="仿宋_GB2312" w:hAnsi="仿宋_GB2312" w:cs="仿宋_GB2312" w:eastAsia="仿宋_GB2312"/>
                      <w:sz w:val="24"/>
                    </w:rPr>
                    <w:t>mm）</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≥1060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上料斗容积（</w:t>
                  </w:r>
                  <w:r>
                    <w:rPr>
                      <w:rFonts w:ascii="仿宋_GB2312" w:hAnsi="仿宋_GB2312" w:cs="仿宋_GB2312" w:eastAsia="仿宋_GB2312"/>
                      <w:sz w:val="24"/>
                    </w:rPr>
                    <w:t>m³）</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电机功率（</w:t>
                  </w:r>
                  <w:r>
                    <w:rPr>
                      <w:rFonts w:ascii="仿宋_GB2312" w:hAnsi="仿宋_GB2312" w:cs="仿宋_GB2312" w:eastAsia="仿宋_GB2312"/>
                      <w:sz w:val="24"/>
                    </w:rPr>
                    <w:t>kW</w:t>
                  </w:r>
                  <w:r>
                    <w:rPr>
                      <w:rFonts w:ascii="仿宋_GB2312" w:hAnsi="仿宋_GB2312" w:cs="仿宋_GB2312" w:eastAsia="仿宋_GB2312"/>
                      <w:sz w:val="24"/>
                    </w:rPr>
                    <w:t>）</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380V/50Hz</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液压系统压力（</w:t>
                  </w:r>
                  <w:r>
                    <w:rPr>
                      <w:rFonts w:ascii="仿宋_GB2312" w:hAnsi="仿宋_GB2312" w:cs="仿宋_GB2312" w:eastAsia="仿宋_GB2312"/>
                      <w:sz w:val="24"/>
                    </w:rPr>
                    <w:t>MPa</w:t>
                  </w:r>
                  <w:r>
                    <w:rPr>
                      <w:rFonts w:ascii="仿宋_GB2312" w:hAnsi="仿宋_GB2312" w:cs="仿宋_GB2312" w:eastAsia="仿宋_GB2312"/>
                      <w:sz w:val="24"/>
                    </w:rPr>
                    <w:t>）</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最大压缩力</w:t>
                  </w:r>
                  <w:r>
                    <w:rPr>
                      <w:rFonts w:ascii="仿宋_GB2312" w:hAnsi="仿宋_GB2312" w:cs="仿宋_GB2312" w:eastAsia="仿宋_GB2312"/>
                      <w:sz w:val="24"/>
                    </w:rPr>
                    <w:t>(KN)</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≥360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压实密度（</w:t>
                  </w:r>
                  <w:r>
                    <w:rPr>
                      <w:rFonts w:ascii="仿宋_GB2312" w:hAnsi="仿宋_GB2312" w:cs="仿宋_GB2312" w:eastAsia="仿宋_GB2312"/>
                      <w:sz w:val="24"/>
                    </w:rPr>
                    <w:t>t/m³）</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≥0.7</w:t>
                  </w:r>
                  <w:r>
                    <w:rPr>
                      <w:rFonts w:ascii="仿宋_GB2312" w:hAnsi="仿宋_GB2312" w:cs="仿宋_GB2312" w:eastAsia="仿宋_GB2312"/>
                      <w:sz w:val="24"/>
                    </w:rPr>
                    <w:t>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空载状态压缩循环时间</w:t>
                  </w:r>
                  <w:r>
                    <w:rPr>
                      <w:rFonts w:ascii="仿宋_GB2312" w:hAnsi="仿宋_GB2312" w:cs="仿宋_GB2312" w:eastAsia="仿宋_GB2312"/>
                      <w:sz w:val="24"/>
                    </w:rPr>
                    <w:t>(s)</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提料循环时间</w:t>
                  </w:r>
                  <w:r>
                    <w:rPr>
                      <w:rFonts w:ascii="仿宋_GB2312" w:hAnsi="仿宋_GB2312" w:cs="仿宋_GB2312" w:eastAsia="仿宋_GB2312"/>
                      <w:sz w:val="24"/>
                    </w:rPr>
                    <w:t>(s)</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噪音</w:t>
                  </w:r>
                  <w:r>
                    <w:rPr>
                      <w:rFonts w:ascii="仿宋_GB2312" w:hAnsi="仿宋_GB2312" w:cs="仿宋_GB2312" w:eastAsia="仿宋_GB2312"/>
                      <w:sz w:val="24"/>
                    </w:rPr>
                    <w:t>声</w:t>
                  </w:r>
                  <w:r>
                    <w:rPr>
                      <w:rFonts w:ascii="仿宋_GB2312" w:hAnsi="仿宋_GB2312" w:cs="仿宋_GB2312" w:eastAsia="仿宋_GB2312"/>
                      <w:sz w:val="24"/>
                    </w:rPr>
                    <w:t>dB（A）</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垃圾箱体结构</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锥形结构</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垃圾箱体外观</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无骨架流线型外观，受力均匀</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箱体导轨</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16#工字钢</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液压系统</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双泵驱动</w:t>
                  </w:r>
                </w:p>
              </w:tc>
            </w:tr>
          </w:tbl>
          <w:p>
            <w:pPr>
              <w:pStyle w:val="null3"/>
              <w:jc w:val="both"/>
              <w:outlineLvl w:val="1"/>
            </w:pPr>
            <w:r>
              <w:rPr>
                <w:rFonts w:ascii="仿宋_GB2312" w:hAnsi="仿宋_GB2312" w:cs="仿宋_GB2312" w:eastAsia="仿宋_GB2312"/>
                <w:sz w:val="24"/>
                <w:b/>
              </w:rPr>
              <w:t>2、技术性能要求</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压缩机压缩仓的底板及</w:t>
            </w:r>
            <w:r>
              <w:rPr>
                <w:rFonts w:ascii="仿宋_GB2312" w:hAnsi="仿宋_GB2312" w:cs="仿宋_GB2312" w:eastAsia="仿宋_GB2312"/>
                <w:sz w:val="24"/>
              </w:rPr>
              <w:t>M 型压缩推板采用高强钢拼焊而成。</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压缩机箱体侧板，采用整张钢板卷压制作，不拼接，不使用外露框架。</w:t>
            </w:r>
          </w:p>
          <w:p>
            <w:pPr>
              <w:pStyle w:val="null3"/>
              <w:jc w:val="both"/>
            </w:pPr>
            <w:r>
              <w:rPr>
                <w:rFonts w:ascii="仿宋_GB2312" w:hAnsi="仿宋_GB2312" w:cs="仿宋_GB2312" w:eastAsia="仿宋_GB2312"/>
                <w:sz w:val="24"/>
              </w:rPr>
              <w:t>2.3、压缩机所有外露金属表面均需防锈处理，与垃圾直接接触的钢板也进行防腐处理。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压缩机液压泵站电机、油泵、油箱、控制阀采用集成式结构，油泵安装于油箱内。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压缩机后门的锁紧采用</w:t>
            </w:r>
            <w:r>
              <w:rPr>
                <w:rFonts w:ascii="仿宋_GB2312" w:hAnsi="仿宋_GB2312" w:cs="仿宋_GB2312" w:eastAsia="仿宋_GB2312"/>
                <w:sz w:val="24"/>
              </w:rPr>
              <w:t>6点锁紧。后门与压缩机之间应采用特殊密封条，确保箱体整体密封性。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压缩机电气系统应采用</w:t>
            </w:r>
            <w:r>
              <w:rPr>
                <w:rFonts w:ascii="仿宋_GB2312" w:hAnsi="仿宋_GB2312" w:cs="仿宋_GB2312" w:eastAsia="仿宋_GB2312"/>
                <w:sz w:val="24"/>
              </w:rPr>
              <w:t>PLC可编程逻辑控制器进行</w:t>
            </w:r>
            <w:r>
              <w:rPr>
                <w:rFonts w:ascii="仿宋_GB2312" w:hAnsi="仿宋_GB2312" w:cs="仿宋_GB2312" w:eastAsia="仿宋_GB2312"/>
                <w:sz w:val="24"/>
              </w:rPr>
              <w:t>控制，具有记忆与自诊断功能。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压缩机</w:t>
            </w:r>
            <w:r>
              <w:rPr>
                <w:rFonts w:ascii="仿宋_GB2312" w:hAnsi="仿宋_GB2312" w:cs="仿宋_GB2312" w:eastAsia="仿宋_GB2312"/>
                <w:sz w:val="24"/>
              </w:rPr>
              <w:t>要求</w:t>
            </w:r>
            <w:r>
              <w:rPr>
                <w:rFonts w:ascii="仿宋_GB2312" w:hAnsi="仿宋_GB2312" w:cs="仿宋_GB2312" w:eastAsia="仿宋_GB2312"/>
                <w:sz w:val="24"/>
              </w:rPr>
              <w:t>配置两套操作系统，独立切换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压缩设备</w:t>
            </w:r>
            <w:r>
              <w:rPr>
                <w:rFonts w:ascii="仿宋_GB2312" w:hAnsi="仿宋_GB2312" w:cs="仿宋_GB2312" w:eastAsia="仿宋_GB2312"/>
                <w:sz w:val="24"/>
              </w:rPr>
              <w:t>关键部位（压缩头、压缩腔）耐磨、耐腐蚀钢板，钢材布氏硬度</w:t>
            </w:r>
            <w:r>
              <w:rPr>
                <w:rFonts w:ascii="仿宋_GB2312" w:hAnsi="仿宋_GB2312" w:cs="仿宋_GB2312" w:eastAsia="仿宋_GB2312"/>
                <w:sz w:val="24"/>
              </w:rPr>
              <w:t>≧530</w:t>
            </w:r>
            <w:r>
              <w:rPr>
                <w:rFonts w:ascii="仿宋_GB2312" w:hAnsi="仿宋_GB2312" w:cs="仿宋_GB2312" w:eastAsia="仿宋_GB2312"/>
                <w:sz w:val="24"/>
              </w:rPr>
              <w:t>HB</w:t>
            </w:r>
            <w:r>
              <w:rPr>
                <w:rFonts w:ascii="仿宋_GB2312" w:hAnsi="仿宋_GB2312" w:cs="仿宋_GB2312" w:eastAsia="仿宋_GB2312"/>
                <w:sz w:val="24"/>
              </w:rPr>
              <w:t>，规定塑性延伸强度</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00MPa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2.9、移动站两侧设有污水快速排放接口。</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移动站导轨根据现有房屋、场地进行匹配、设计调整。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合同签订生效后10天内交货完毕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渭南市临渭区环境卫生管理中心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设备全部供货完成，采购人支付合同总价款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货物经采购人验收合格后并投入正常使用，采购人支付剩余价款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2.所有货物均已运输至指定地点，并安装调试完毕。 3.招标文件、投标人承诺及采购合同约定的附件、工具、技术资料等齐全；提供产品使用说明书、合格证。 4.验收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2.包装：应采取防潮、防晒、防腐蚀、防震动及防止其它损坏的必要措施。中标人应承担由于其包装或防护措施不妥而引起的货物锈蚀、损坏和丢失等任何损失造成的责任或费用。 3.运输：运杂费一次包死在总价内，包括生产厂到交货地所需的装卸、运输（含保险费）、现场保管费、二次倒运费、吊装费等费用。。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1.质保期：自验收合格之日起不低于一年（参数中有具体要求的，按参数要求提供质保）。中标人承诺的质保时间超过招标文件要求的，按其承诺时间质保。 2.在设备使用期间，出现故障或异常，供应商应在4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5.安装、调试及培训：供应商负责所有设备的安装、调试、培训工作，供应商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2.未按合同要求提供产品或设备质量不能满足技术要求，采购人有权终止合同，并对供方违约行为进行追究，同时按《中华人民共和国政府采购法》的有关规定进行处罚。3.若未能在交货期内完成合同规定的义务，由此对采购人造成的延误和一切损失，由供应商承担和赔偿。 4.其他未尽事宜，按《中华人民共和国民法典》中的相关条款执行。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二、中标供应商在中标结果公告发布后3个工作日内提供叁套纸质投标文件（经编标工具生成的文件直接打印并加盖公章），递交的纸质版文件内容确保与线上电子文件保持一致，不允许修改和补充。 三、根据印发中小企业划型标准规定的通知 工信部联企业〔2011〕300号文件规定：（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1分（提供清单内产品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所投产品的技术指标、参数、性能等情况符合招标文件要求，提供产品的技术资料，满足招标文件要求得21分，负偏离将进行扣分，非▲参数11分；带▲参数10分： 非▲参数每负偏离1项扣0.5分，11分扣完为止；带▲号参数每负偏离1项扣1分，10分扣完为止，不计负分。 注：投标人应提供充足的技术证明材料（技术证明材料包括但不限于检测报告、官网和功能截图、彩页、说明书等相关资料）予以佐证，未提供证明</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（一）评审内容：①备货、供货进度及组织保障方案；②货物运输及安装方案；③备品配件齐全保障方案。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（一）评审内容：①产品质量保障措施；②产品的制作、工艺、加工、环保措施；③投标产品选型科学、来源渠道正规的保障措施。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不存在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拟投入的人员安排合理，符合项目实施要求，岗位职责明确，每配备一个人员得1分，本项最高得5分。 注：提供人员的相关证明材料，否则不得分。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满足招标文件要求且投标价格最低的投标总报价为评标基准价，其价格分为满分。其他投标人的价格分统一按照下列公式计算： 投标报价得分=(评标基准价／投标报价)×35%×100。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1.在本项目中，若货物由小型或微型企业制造，并符合政策要求的小型或微型企业制造商，报价给予10%的扣除，用扣除后的价格参加评审。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10%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10%的扣除，用扣除后的价格参与评审。应当提供规定的《残疾人福利性单位声明函》，并对声明的真实性负责。在政府采购活动中，残疾人福利性单位视同小型、微型企业，享受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