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版本号：ZCSP-临渭区-2025-0016620250804001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渭南市临渭区中心敬老院适老化改造与基础设施提升项目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ZCSP-临渭区-2025-00166</w:t>
      </w:r>
      <w:r>
        <w:br/>
      </w:r>
      <w:r>
        <w:br/>
      </w:r>
      <w:r>
        <w:br/>
      </w:r>
    </w:p>
    <w:p>
      <w:pPr>
        <w:pStyle w:val="null3"/>
        <w:jc w:val="center"/>
        <w:outlineLvl w:val="2"/>
      </w:pPr>
      <w:r>
        <w:rPr>
          <w:rFonts w:ascii="仿宋_GB2312" w:hAnsi="仿宋_GB2312" w:cs="仿宋_GB2312" w:eastAsia="仿宋_GB2312"/>
          <w:sz w:val="28"/>
          <w:b/>
        </w:rPr>
        <w:t>渭南市临渭区民政局</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渭南市临渭区民政局</w:t>
      </w:r>
      <w:r>
        <w:rPr>
          <w:rFonts w:ascii="仿宋_GB2312" w:hAnsi="仿宋_GB2312" w:cs="仿宋_GB2312" w:eastAsia="仿宋_GB2312"/>
        </w:rPr>
        <w:t>委托，拟对</w:t>
      </w:r>
      <w:r>
        <w:rPr>
          <w:rFonts w:ascii="仿宋_GB2312" w:hAnsi="仿宋_GB2312" w:cs="仿宋_GB2312" w:eastAsia="仿宋_GB2312"/>
        </w:rPr>
        <w:t>渭南市临渭区中心敬老院适老化改造与基础设施提升项目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ZCSP-临渭区-2025-00166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渭南市临渭区中心敬老院适老化改造与基础设施提升项目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为整体适老化改造与基础设施提升，对地面、居室门、卧室、如厕汽浴设施、呼叫系统、物理环境等实施综合改造。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1、营业执照：供应商应具有独立承担民事责任的能力且具备向采购人提供相关服务的企业法人或者自然人,企业法人应提供统一社会信用代码的营业执照；自然人提供身份证明文件；</w:t>
      </w:r>
    </w:p>
    <w:p>
      <w:pPr>
        <w:pStyle w:val="null3"/>
      </w:pPr>
      <w:r>
        <w:rPr>
          <w:rFonts w:ascii="仿宋_GB2312" w:hAnsi="仿宋_GB2312" w:cs="仿宋_GB2312" w:eastAsia="仿宋_GB2312"/>
        </w:rPr>
        <w:t>2、法定代表人授权：供应商应授权合法的人员参加投标全过程，其中法定代表人直接参加的，须出具法人身份证，并与营业执照上信息一致。法定代表人授权代表参加投标的，须出具法定代表人授权书、授权代表身份证及递交投标文件截止之日前连续3个月社保缴纳证明；</w:t>
      </w:r>
    </w:p>
    <w:p>
      <w:pPr>
        <w:pStyle w:val="null3"/>
      </w:pPr>
      <w:r>
        <w:rPr>
          <w:rFonts w:ascii="仿宋_GB2312" w:hAnsi="仿宋_GB2312" w:cs="仿宋_GB2312" w:eastAsia="仿宋_GB2312"/>
        </w:rPr>
        <w:t>3、税收缴纳证明和社会保障资金缴纳证明：税收缴纳证明和社会保障资金缴纳证明：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财务状况报告：提供2024年度财务审计报告（成立时间至提交响应文件截止时间不足一年的可提供成立后任意时段的资产负债表）或其基本存款账户开户银行出具的开标前六个月内资信证明及基本存款账户的开户证明；</w:t>
      </w:r>
    </w:p>
    <w:p>
      <w:pPr>
        <w:pStyle w:val="null3"/>
      </w:pPr>
      <w:r>
        <w:rPr>
          <w:rFonts w:ascii="仿宋_GB2312" w:hAnsi="仿宋_GB2312" w:cs="仿宋_GB2312" w:eastAsia="仿宋_GB2312"/>
        </w:rPr>
        <w:t>5、企业信誉：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p>
      <w:pPr>
        <w:pStyle w:val="null3"/>
      </w:pPr>
      <w:r>
        <w:rPr>
          <w:rFonts w:ascii="仿宋_GB2312" w:hAnsi="仿宋_GB2312" w:cs="仿宋_GB2312" w:eastAsia="仿宋_GB2312"/>
        </w:rPr>
        <w:t>6、相关声明：提供参加本次政府采购活动前三年内在经营活动中没有重大违法记录的书面声明</w:t>
      </w:r>
    </w:p>
    <w:p>
      <w:pPr>
        <w:pStyle w:val="null3"/>
      </w:pPr>
      <w:r>
        <w:rPr>
          <w:rFonts w:ascii="仿宋_GB2312" w:hAnsi="仿宋_GB2312" w:cs="仿宋_GB2312" w:eastAsia="仿宋_GB2312"/>
        </w:rPr>
        <w:t>7、承诺书：提供具有履行合同所必须的设备和专业技术能力的承诺书</w:t>
      </w:r>
    </w:p>
    <w:p>
      <w:pPr>
        <w:pStyle w:val="null3"/>
      </w:pPr>
      <w:r>
        <w:rPr>
          <w:rFonts w:ascii="仿宋_GB2312" w:hAnsi="仿宋_GB2312" w:cs="仿宋_GB2312" w:eastAsia="仿宋_GB2312"/>
        </w:rPr>
        <w:t>8、供应商控股关系：单位负责人为同一人或者存在直接控股、管理关系的不同供应商，不得参加同一合同项下的政府采购活动；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9、投标保证金：投标保证金缴纳证明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临渭区东风街83号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渭南市临渭区民政局经办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0913-3039692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袁新洁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17349239651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开户名称：品智工程咨询有限公司渭南分公司</w:t>
            </w:r>
          </w:p>
          <w:p>
            <w:pPr>
              <w:pStyle w:val="null3"/>
            </w:pPr>
            <w:r>
              <w:rPr>
                <w:rFonts w:ascii="仿宋_GB2312" w:hAnsi="仿宋_GB2312" w:cs="仿宋_GB2312" w:eastAsia="仿宋_GB2312"/>
              </w:rPr>
              <w:t>开户银行：中国建设银行股份有限公司渭南胜利大街支行</w:t>
            </w:r>
          </w:p>
          <w:p>
            <w:pPr>
              <w:pStyle w:val="null3"/>
            </w:pPr>
            <w:r>
              <w:rPr>
                <w:rFonts w:ascii="仿宋_GB2312" w:hAnsi="仿宋_GB2312" w:cs="仿宋_GB2312" w:eastAsia="仿宋_GB2312"/>
              </w:rPr>
              <w:t>银行账号：61050164140000001103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渭南市临渭区民政局</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渭南市临渭区民政局</w:t>
      </w:r>
      <w:r>
        <w:rPr>
          <w:rFonts w:ascii="仿宋_GB2312" w:hAnsi="仿宋_GB2312" w:cs="仿宋_GB2312" w:eastAsia="仿宋_GB2312"/>
        </w:rPr>
        <w:t>负责解释。除上述招标文件内容，其他内容由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依据技术参数指标对该产品进行验收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联系人：袁新洁</w:t>
      </w:r>
    </w:p>
    <w:p>
      <w:pPr>
        <w:pStyle w:val="null3"/>
      </w:pPr>
      <w:r>
        <w:rPr>
          <w:rFonts w:ascii="仿宋_GB2312" w:hAnsi="仿宋_GB2312" w:cs="仿宋_GB2312" w:eastAsia="仿宋_GB2312"/>
        </w:rPr>
        <w:t>联系电话：17349239651</w:t>
      </w:r>
    </w:p>
    <w:p>
      <w:pPr>
        <w:pStyle w:val="null3"/>
      </w:pPr>
      <w:r>
        <w:rPr>
          <w:rFonts w:ascii="仿宋_GB2312" w:hAnsi="仿宋_GB2312" w:cs="仿宋_GB2312" w:eastAsia="仿宋_GB2312"/>
        </w:rPr>
        <w:t>地址：陕西省西安市经济技术开发区凤城七路长和国际A座1502室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为整体适老化改造与基础设施提升，对地面、居室门、卧室、如厕汽浴设施、呼叫系统:物理环境等实施综合改造.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640,000.00</w:t>
      </w:r>
    </w:p>
    <w:p>
      <w:pPr>
        <w:pStyle w:val="null3"/>
      </w:pPr>
      <w:r>
        <w:rPr>
          <w:rFonts w:ascii="仿宋_GB2312" w:hAnsi="仿宋_GB2312" w:cs="仿宋_GB2312" w:eastAsia="仿宋_GB2312"/>
        </w:rPr>
        <w:t>采购包最高限价（元）: 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渭南市临渭区中心敬老院适老化改造与基础设施提升项目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标的名称：渭南市临渭区中心敬老院适老化改造与基础设施提升项目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center"/>
            </w:pPr>
            <w:r>
              <w:rPr>
                <w:rFonts w:ascii="仿宋_GB2312" w:hAnsi="仿宋_GB2312" w:cs="仿宋_GB2312" w:eastAsia="仿宋_GB2312"/>
                <w:sz w:val="32"/>
                <w:color w:val="993300"/>
              </w:rPr>
              <w:t>采购清单</w:t>
            </w:r>
          </w:p>
          <w:tbl>
            <w:tblPr>
              <w:tblInd w:type="dxa" w:w="90"/>
              <w:tblBorders>
                <w:top w:val="none" w:color="000000" w:sz="4"/>
                <w:left w:val="none" w:color="000000" w:sz="4"/>
                <w:bottom w:val="none" w:color="000000" w:sz="4"/>
                <w:right w:val="none" w:color="000000" w:sz="4"/>
                <w:insideH w:val="none"/>
                <w:insideV w:val="none"/>
              </w:tblBorders>
            </w:tblPr>
            <w:tblGrid>
              <w:gridCol w:w="265"/>
              <w:gridCol w:w="517"/>
              <w:gridCol w:w="778"/>
              <w:gridCol w:w="493"/>
              <w:gridCol w:w="493"/>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项目</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产品名称</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01</w:t>
                  </w:r>
                </w:p>
              </w:tc>
              <w:tc>
                <w:tcPr>
                  <w:tcW w:type="dxa" w:w="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无线呼叫定位巡更系统</w:t>
                  </w: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照护站主机</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02</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4G呼叫器</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119</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03</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拉绳呼叫器</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113</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04</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定位信标</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119</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05</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呼叫接收手表</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睡眠看护系统清单</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智能床垫</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07</w:t>
                  </w:r>
                </w:p>
              </w:tc>
              <w:tc>
                <w:tcPr>
                  <w:tcW w:type="dxa" w:w="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园区长者定位系统</w:t>
                  </w: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远距离定位感应器</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69</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08</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可水洗电子标签</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条</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09</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标签读写器</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即时定位呼叫软件</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感应器数量</w:t>
                  </w:r>
                  <w:r>
                    <w:rPr>
                      <w:rFonts w:ascii="仿宋_GB2312" w:hAnsi="仿宋_GB2312" w:cs="仿宋_GB2312" w:eastAsia="仿宋_GB2312"/>
                      <w:sz w:val="22"/>
                    </w:rPr>
                    <w:t>/年</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69</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即时定位图</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适老化样板间</w:t>
                  </w: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适老床</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床头柜</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适老衣柜</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双人沙发</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适老沙发</w:t>
                  </w:r>
                  <w:r>
                    <w:rPr>
                      <w:rFonts w:ascii="仿宋_GB2312" w:hAnsi="仿宋_GB2312" w:cs="仿宋_GB2312" w:eastAsia="仿宋_GB2312"/>
                      <w:sz w:val="22"/>
                    </w:rPr>
                    <w:t>3+1</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茶几</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适老餐桌椅</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电视柜</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橱柜</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实木书桌</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书桌椅</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鞋柜</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换鞋凳</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电视（</w:t>
                  </w:r>
                  <w:r>
                    <w:rPr>
                      <w:rFonts w:ascii="仿宋_GB2312" w:hAnsi="仿宋_GB2312" w:cs="仿宋_GB2312" w:eastAsia="仿宋_GB2312"/>
                      <w:sz w:val="22"/>
                    </w:rPr>
                    <w:t>55寸）</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多功能厅设备</w:t>
                  </w: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照护服务站</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适老活动桌椅</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一桌三椅</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软装装饰</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电视</w:t>
                  </w:r>
                  <w:r>
                    <w:rPr>
                      <w:rFonts w:ascii="仿宋_GB2312" w:hAnsi="仿宋_GB2312" w:cs="仿宋_GB2312" w:eastAsia="仿宋_GB2312"/>
                      <w:sz w:val="22"/>
                    </w:rPr>
                    <w:t>85寸</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空调</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智能窗帘（含窗帘）</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防跌倒摄像头</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智能零火双键开关</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517"/>
                  <w:vMerge/>
                  <w:tcBorders>
                    <w:top w:val="none" w:color="000000" w:sz="4"/>
                    <w:left w:val="none" w:color="000000" w:sz="4"/>
                    <w:bottom w:val="single" w:color="000000" w:sz="4"/>
                    <w:right w:val="single" w:color="000000" w:sz="4"/>
                  </w:tcBorders>
                </w:tcPr>
                <w:p/>
              </w:tc>
              <w:tc>
                <w:tcPr>
                  <w:tcW w:type="dxa" w:w="7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中枢网关</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合同签订生效后60天内需要交货完毕、并验收合格。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渭南市临渭区民政局指定地点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 40%合同价款作为预付款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待整体项目验收合格后支付合同价款60%。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依据技术参数指标对该产品进行验收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政府采购供应商拒绝政府采购领域商业贿赂承诺书.docx 技术方案.docx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供应商应具有独立承担民事责任的能力且具备向采购人提供相关服务的企业法人或者自然人,企业法人应提供统一社会信用代码的营业执照；自然人提供身份证明文件；</w:t>
            </w:r>
          </w:p>
        </w:tc>
        <w:tc>
          <w:tcPr>
            <w:tcW w:type="dxa" w:w="1661"/>
          </w:tcPr>
          <w:p>
            <w:pPr>
              <w:pStyle w:val="null3"/>
            </w:pPr>
            <w:r>
              <w:rPr>
                <w:rFonts w:ascii="仿宋_GB2312" w:hAnsi="仿宋_GB2312" w:cs="仿宋_GB2312" w:eastAsia="仿宋_GB2312"/>
              </w:rPr>
              <w:t>投标函 投标人资格证明文件.docx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供应商应授权合法的人员参加投标全过程，其中法定代表人直接参加的，须出具法人身份证，并与营业执照上信息一致。法定代表人授权代表参加投标的，须出具法定代表人授权书、授权代表身份证及递交投标文件截止之日前连续3个月社保缴纳证明；</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税收缴纳证明和社会保障资金缴纳证明：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提供2024年度财务审计报告（成立时间至提交响应文件截止时间不足一年的可提供成立后任意时段的资产负债表）或其基本存款账户开户银行出具的开标前六个月内资信证明及基本存款账户的开户证明；</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提供具有履行合同所必须的设备和专业技术能力的承诺书</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投标保证金缴纳证明</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投标文件上法定代表人或其授权代表人的签字或盖章齐全并加盖公章</w:t>
            </w:r>
          </w:p>
        </w:tc>
        <w:tc>
          <w:tcPr>
            <w:tcW w:type="dxa" w:w="1661"/>
          </w:tcPr>
          <w:p>
            <w:pPr>
              <w:pStyle w:val="null3"/>
            </w:pPr>
            <w:r>
              <w:rPr>
                <w:rFonts w:ascii="仿宋_GB2312" w:hAnsi="仿宋_GB2312" w:cs="仿宋_GB2312" w:eastAsia="仿宋_GB2312"/>
              </w:rPr>
              <w:t>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只能有一个有效最终报价，不得提交选择性报价，且报价不超过采购预算金额。</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总体要求</w:t>
            </w:r>
          </w:p>
        </w:tc>
        <w:tc>
          <w:tcPr>
            <w:tcW w:type="dxa" w:w="2492"/>
          </w:tcPr>
          <w:p>
            <w:pPr>
              <w:pStyle w:val="null3"/>
            </w:pPr>
            <w:r>
              <w:rPr>
                <w:rFonts w:ascii="仿宋_GB2312" w:hAnsi="仿宋_GB2312" w:cs="仿宋_GB2312" w:eastAsia="仿宋_GB2312"/>
              </w:rPr>
              <w:t>1、评审内容：针对本项目有①项目理解、②工作思路、③工作原则、④合理化建议。 2、评审标准： ①.完整性:总体要求须全面，内容完整、合理;②.可实施性：切合本项目实际情况，要求明确、可操作性强;③针对性:能够紧扣项目实际情况，专业性强。 3、赋分标准(满分8分): ①每一项评审内容完全满足评审标准得2分。②每一项评审内容若存在不够明确、不够合理、不够完整、针对性不够强，扣0.5分；③每一项评审内容不提供或完全背离评审标准得0分。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1、评审内容针对本项目提供有实施方案，包含①综合改造实施方案、②产品供货方案。 2、评审标准： ①.完整性:实施方案须全面，内容完整、合理;②.可实施性：切合本项目实际情况，方案明确、可操作性强;③针对性:能够紧扣项目实际情况，专业性强。 3、赋分标准(满分10分): ①每一项评审内容完全满足评审标准得5分。②每一项评审内容若存在不够明确、不够合理、不够完整、针对性不够强，扣1.5分；③每一项评审内容不提供或完全背离评审标准得0分。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项目进度及组织协调</w:t>
            </w:r>
          </w:p>
        </w:tc>
        <w:tc>
          <w:tcPr>
            <w:tcW w:type="dxa" w:w="2492"/>
          </w:tcPr>
          <w:p>
            <w:pPr>
              <w:pStyle w:val="null3"/>
            </w:pPr>
            <w:r>
              <w:rPr>
                <w:rFonts w:ascii="仿宋_GB2312" w:hAnsi="仿宋_GB2312" w:cs="仿宋_GB2312" w:eastAsia="仿宋_GB2312"/>
              </w:rPr>
              <w:t>1、评审内容：针对本项目提供有①项目进度安排、②组织协调措施。 2、评审标准：①.完整性:项目进度安排全面，思路清晰分析透彻，内容完整、方案科学、合理;②.可实施性：切合本项目实际情况，步骤明确、可操作性强;③针对性:能够紧扣项目实际情况，专业性强、内容科学、合理。 3、赋分标准(满分8分): ①完全满足评审标准每项得4分。②方案不够明确、不够合理、不够完整、针对性不够强，扣1分；③不提供或完全背离评审标准得0分。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1、评审内容：①提出本项目实施过程中容易出错或忽略的重点、难点分析、②针对所提出的重点、难点有相应的解决方案。 2、评审标准： ①.完整性:重难点分析全面，思路清晰分析透彻，内容完整、科学、合理;②.可实施性：切合本项目实际情况，能够提供指导意见、可操作性强;③针对性:能够紧扣项目实际情况，专业性强、内容科学、合理。 3、赋分标准(满分8分): ①每一项评审内容完全满足评审标准得4分。②每一项评审内容若存在不够明确、不够合理、不够完整、针对性不够强，扣1分；③每一项评审内容不提供或完全背离评审标准得0分。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设备清单</w:t>
            </w:r>
          </w:p>
        </w:tc>
        <w:tc>
          <w:tcPr>
            <w:tcW w:type="dxa" w:w="2492"/>
          </w:tcPr>
          <w:p>
            <w:pPr>
              <w:pStyle w:val="null3"/>
            </w:pPr>
            <w:r>
              <w:rPr>
                <w:rFonts w:ascii="仿宋_GB2312" w:hAnsi="仿宋_GB2312" w:cs="仿宋_GB2312" w:eastAsia="仿宋_GB2312"/>
              </w:rPr>
              <w:t>1、评审内容：设备清提供齐全，资料全面 2、评审标准： 响应文件中列有针对本项目所涉及的设备清单，并附有合法来源渠道证明材料计6分； 3、有设备清单，无合法来源渠道证明材料或材料不齐全计3分，无清单不计分。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1、评审内容：针对本项目提供有①售后服务体系、②售后服务人员安排、③售后服务响应时间与处理时间、④售后服务内容及方式。 2、评分标准： ①.完整性:售后服务方案全面，内容完整、方案科学、合理;②.可实施性：切合本项目实际情况，步骤明确、可操作性强;③针对性:能够紧扣项目实际情况，专业性强、内容科学、合理。 3、赋分标准(满分8分): ①每一项评审内容完全满足评审标准得2分。②每一项评审内容若存在方案不够明确、不够合理、不够完整、针对性不够强，扣0.5分；③每一项评审内容不提供或完全背离评审标准得0分。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1、评审内容：针对本项目提供有①应急方案、②补救措施、③验收措施。 2、评审标准： ①.完整性:方案须全面，思路清晰分析透彻，内容完整、方案科学、合理;②.可实施性：切合本项目实际情况，步骤明确、可操作性强;③针对性:能够紧扣项目实际情况，专业性强、内容科学、合理。 3、赋分标准(满分6分): ①每一项评审内容完全满足评审标准得2分。②每一项评审内容若存在方案不够明确、不够合理、不够完整、针对性不够强，扣0.5分；③每一项评审内容不提供或完全背离评审标准得0分。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供应商提供2021年1月至投标前类似项目业绩，以合同签订日期为准，供应商提供合同复印件加盖公章，每提供一份计2分，此项共计6分。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满足投标文件要求且投标价格最低的报价为评标基准价， 其价格分为满分。其他供应商的价格分统一按照下列公式计算：投标报价得分=（评标基准价/有效报价 ) ×价格权重（40%） ×100。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