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20048">
      <w:pPr>
        <w:pStyle w:val="4"/>
        <w:spacing w:after="0"/>
        <w:jc w:val="center"/>
        <w:outlineLvl w:val="1"/>
        <w:rPr>
          <w:rFonts w:hint="eastAsia" w:ascii="宋体" w:hAnsi="宋体" w:cs="宋体"/>
          <w:b/>
          <w:bCs/>
          <w:color w:val="auto"/>
          <w:spacing w:val="-20"/>
          <w:kern w:val="44"/>
          <w:sz w:val="48"/>
          <w:szCs w:val="48"/>
        </w:rPr>
      </w:pPr>
      <w:bookmarkStart w:id="0" w:name="_Toc1907"/>
      <w:r>
        <w:rPr>
          <w:rFonts w:hint="eastAsia" w:ascii="宋体" w:hAnsi="宋体" w:cs="宋体"/>
          <w:b/>
          <w:bCs/>
          <w:color w:val="auto"/>
          <w:spacing w:val="-20"/>
          <w:kern w:val="44"/>
          <w:sz w:val="48"/>
          <w:szCs w:val="48"/>
        </w:rPr>
        <w:t>政府采购</w:t>
      </w:r>
      <w:r>
        <w:rPr>
          <w:rFonts w:hint="eastAsia" w:ascii="宋体" w:hAnsi="宋体" w:cs="宋体"/>
          <w:b/>
          <w:bCs/>
          <w:color w:val="auto"/>
          <w:spacing w:val="-20"/>
          <w:kern w:val="44"/>
          <w:sz w:val="48"/>
          <w:szCs w:val="48"/>
          <w:lang w:eastAsia="zh-CN"/>
        </w:rPr>
        <w:t>货物买卖</w:t>
      </w:r>
      <w:r>
        <w:rPr>
          <w:rFonts w:hint="eastAsia" w:ascii="宋体" w:hAnsi="宋体" w:cs="宋体"/>
          <w:b/>
          <w:bCs/>
          <w:color w:val="auto"/>
          <w:spacing w:val="-20"/>
          <w:kern w:val="44"/>
          <w:sz w:val="48"/>
          <w:szCs w:val="48"/>
        </w:rPr>
        <w:t>合同</w:t>
      </w:r>
      <w:bookmarkEnd w:id="0"/>
    </w:p>
    <w:p w14:paraId="57177A6C">
      <w:pPr>
        <w:rPr>
          <w:rFonts w:ascii="宋体" w:hAnsi="宋体" w:cs="宋体"/>
          <w:b/>
          <w:bCs/>
          <w:color w:val="auto"/>
          <w:spacing w:val="-20"/>
          <w:kern w:val="44"/>
          <w:sz w:val="40"/>
          <w:szCs w:val="40"/>
        </w:rPr>
      </w:pPr>
    </w:p>
    <w:p w14:paraId="7BFC78DF">
      <w:pPr>
        <w:rPr>
          <w:rFonts w:ascii="宋体" w:hAnsi="宋体" w:cs="宋体"/>
          <w:b/>
          <w:bCs/>
          <w:color w:val="auto"/>
          <w:spacing w:val="-20"/>
          <w:kern w:val="44"/>
          <w:sz w:val="40"/>
          <w:szCs w:val="40"/>
        </w:rPr>
      </w:pPr>
    </w:p>
    <w:p w14:paraId="246E7ACE">
      <w:pPr>
        <w:pStyle w:val="7"/>
        <w:rPr>
          <w:rFonts w:ascii="宋体" w:hAnsi="宋体" w:cs="宋体"/>
          <w:b/>
          <w:bCs/>
          <w:color w:val="auto"/>
          <w:spacing w:val="-20"/>
          <w:kern w:val="44"/>
          <w:sz w:val="40"/>
          <w:szCs w:val="40"/>
        </w:rPr>
      </w:pPr>
    </w:p>
    <w:p w14:paraId="23F7D602">
      <w:pPr>
        <w:pStyle w:val="7"/>
        <w:rPr>
          <w:rFonts w:ascii="宋体" w:hAnsi="宋体" w:cs="宋体"/>
          <w:b/>
          <w:bCs/>
          <w:color w:val="auto"/>
          <w:spacing w:val="-20"/>
          <w:kern w:val="44"/>
          <w:sz w:val="40"/>
          <w:szCs w:val="40"/>
        </w:rPr>
      </w:pPr>
    </w:p>
    <w:p w14:paraId="2541FABE">
      <w:pPr>
        <w:pStyle w:val="7"/>
        <w:rPr>
          <w:rFonts w:ascii="宋体" w:hAnsi="宋体" w:cs="宋体"/>
          <w:b/>
          <w:bCs/>
          <w:color w:val="auto"/>
          <w:spacing w:val="-20"/>
          <w:kern w:val="44"/>
          <w:sz w:val="40"/>
          <w:szCs w:val="40"/>
        </w:rPr>
      </w:pPr>
    </w:p>
    <w:p w14:paraId="1F8A06AC">
      <w:pPr>
        <w:pStyle w:val="7"/>
        <w:rPr>
          <w:rFonts w:ascii="宋体" w:hAnsi="宋体" w:cs="宋体"/>
          <w:b/>
          <w:bCs/>
          <w:color w:val="auto"/>
          <w:spacing w:val="-20"/>
          <w:kern w:val="44"/>
          <w:sz w:val="40"/>
          <w:szCs w:val="40"/>
        </w:rPr>
      </w:pPr>
    </w:p>
    <w:p w14:paraId="56C52927">
      <w:pPr>
        <w:pStyle w:val="7"/>
        <w:rPr>
          <w:rFonts w:ascii="宋体" w:hAnsi="宋体" w:cs="宋体"/>
          <w:b/>
          <w:bCs/>
          <w:color w:val="auto"/>
          <w:spacing w:val="-20"/>
          <w:kern w:val="44"/>
          <w:sz w:val="40"/>
          <w:szCs w:val="40"/>
        </w:rPr>
      </w:pPr>
    </w:p>
    <w:p w14:paraId="04A83BD2">
      <w:pPr>
        <w:pStyle w:val="7"/>
        <w:rPr>
          <w:rFonts w:ascii="宋体" w:hAnsi="宋体" w:cs="宋体"/>
          <w:b/>
          <w:bCs/>
          <w:color w:val="auto"/>
          <w:spacing w:val="-20"/>
          <w:kern w:val="44"/>
          <w:sz w:val="40"/>
          <w:szCs w:val="40"/>
        </w:rPr>
      </w:pPr>
    </w:p>
    <w:p w14:paraId="7E1A6A44">
      <w:pPr>
        <w:pStyle w:val="7"/>
        <w:rPr>
          <w:rFonts w:ascii="宋体" w:hAnsi="宋体" w:cs="宋体"/>
          <w:b/>
          <w:bCs/>
          <w:color w:val="auto"/>
          <w:spacing w:val="-20"/>
          <w:kern w:val="44"/>
          <w:sz w:val="40"/>
          <w:szCs w:val="40"/>
        </w:rPr>
      </w:pPr>
    </w:p>
    <w:p w14:paraId="7A918F47">
      <w:pPr>
        <w:pStyle w:val="7"/>
        <w:rPr>
          <w:rFonts w:ascii="宋体" w:hAnsi="宋体" w:cs="宋体"/>
          <w:b/>
          <w:bCs/>
          <w:color w:val="auto"/>
          <w:spacing w:val="-20"/>
          <w:kern w:val="44"/>
          <w:sz w:val="40"/>
          <w:szCs w:val="40"/>
        </w:rPr>
      </w:pPr>
    </w:p>
    <w:p w14:paraId="6EB83DB0">
      <w:pPr>
        <w:pStyle w:val="7"/>
        <w:rPr>
          <w:rFonts w:ascii="宋体" w:hAnsi="宋体" w:cs="宋体"/>
          <w:b/>
          <w:bCs/>
          <w:color w:val="auto"/>
          <w:spacing w:val="-20"/>
          <w:kern w:val="44"/>
          <w:sz w:val="40"/>
          <w:szCs w:val="40"/>
        </w:rPr>
      </w:pPr>
    </w:p>
    <w:p w14:paraId="6900001A">
      <w:pPr>
        <w:pStyle w:val="7"/>
        <w:rPr>
          <w:rFonts w:ascii="宋体" w:hAnsi="宋体" w:cs="宋体"/>
          <w:b/>
          <w:bCs/>
          <w:color w:val="auto"/>
          <w:spacing w:val="-20"/>
          <w:kern w:val="44"/>
          <w:sz w:val="40"/>
          <w:szCs w:val="40"/>
        </w:rPr>
      </w:pPr>
    </w:p>
    <w:p w14:paraId="54CE36C4">
      <w:pPr>
        <w:pStyle w:val="7"/>
        <w:rPr>
          <w:rFonts w:ascii="宋体" w:hAnsi="宋体" w:cs="宋体"/>
          <w:b/>
          <w:bCs/>
          <w:color w:val="auto"/>
          <w:spacing w:val="-20"/>
          <w:kern w:val="44"/>
          <w:sz w:val="40"/>
          <w:szCs w:val="40"/>
        </w:rPr>
      </w:pPr>
    </w:p>
    <w:p w14:paraId="18A6F88A">
      <w:pPr>
        <w:pStyle w:val="7"/>
        <w:rPr>
          <w:rFonts w:ascii="宋体" w:hAnsi="宋体" w:cs="宋体"/>
          <w:b/>
          <w:bCs/>
          <w:color w:val="auto"/>
          <w:spacing w:val="-20"/>
          <w:kern w:val="44"/>
          <w:sz w:val="40"/>
          <w:szCs w:val="40"/>
        </w:rPr>
      </w:pPr>
    </w:p>
    <w:p w14:paraId="20542CAF">
      <w:pPr>
        <w:pStyle w:val="7"/>
        <w:rPr>
          <w:rFonts w:ascii="宋体" w:hAnsi="宋体" w:cs="宋体"/>
          <w:b/>
          <w:bCs/>
          <w:color w:val="auto"/>
          <w:spacing w:val="-20"/>
          <w:kern w:val="44"/>
          <w:sz w:val="40"/>
          <w:szCs w:val="40"/>
        </w:rPr>
      </w:pPr>
    </w:p>
    <w:p w14:paraId="33DCF2C7">
      <w:pPr>
        <w:pStyle w:val="7"/>
        <w:rPr>
          <w:rFonts w:ascii="宋体" w:hAnsi="宋体" w:cs="宋体"/>
          <w:b/>
          <w:bCs/>
          <w:color w:val="auto"/>
          <w:spacing w:val="-20"/>
          <w:kern w:val="44"/>
          <w:sz w:val="40"/>
          <w:szCs w:val="40"/>
        </w:rPr>
      </w:pPr>
    </w:p>
    <w:p w14:paraId="7D56F444">
      <w:pPr>
        <w:pStyle w:val="7"/>
        <w:rPr>
          <w:rFonts w:ascii="宋体" w:hAnsi="宋体" w:cs="宋体"/>
          <w:b/>
          <w:bCs/>
          <w:color w:val="auto"/>
          <w:spacing w:val="-20"/>
          <w:kern w:val="44"/>
          <w:sz w:val="40"/>
          <w:szCs w:val="40"/>
        </w:rPr>
      </w:pPr>
    </w:p>
    <w:p w14:paraId="1D2B2E53">
      <w:pPr>
        <w:pStyle w:val="7"/>
        <w:rPr>
          <w:rFonts w:ascii="宋体" w:hAnsi="宋体" w:cs="宋体"/>
          <w:b/>
          <w:bCs/>
          <w:color w:val="auto"/>
          <w:spacing w:val="-20"/>
          <w:kern w:val="44"/>
          <w:sz w:val="40"/>
          <w:szCs w:val="40"/>
        </w:rPr>
      </w:pPr>
    </w:p>
    <w:p w14:paraId="3C1BF1B0">
      <w:pPr>
        <w:pStyle w:val="7"/>
        <w:rPr>
          <w:rFonts w:ascii="宋体" w:hAnsi="宋体" w:cs="宋体"/>
          <w:b/>
          <w:bCs/>
          <w:color w:val="auto"/>
          <w:spacing w:val="-20"/>
          <w:kern w:val="44"/>
          <w:sz w:val="40"/>
          <w:szCs w:val="40"/>
        </w:rPr>
      </w:pPr>
    </w:p>
    <w:p w14:paraId="56E88E15">
      <w:pPr>
        <w:rPr>
          <w:rFonts w:ascii="宋体" w:hAnsi="宋体" w:cs="宋体"/>
          <w:b/>
          <w:bCs/>
          <w:color w:val="auto"/>
          <w:spacing w:val="-20"/>
          <w:kern w:val="44"/>
          <w:sz w:val="40"/>
          <w:szCs w:val="40"/>
        </w:rPr>
      </w:pPr>
    </w:p>
    <w:p w14:paraId="24A1C1F8">
      <w:pPr>
        <w:spacing w:line="360" w:lineRule="auto"/>
        <w:ind w:left="560" w:leftChars="200"/>
        <w:rPr>
          <w:color w:val="auto"/>
          <w:sz w:val="32"/>
          <w:szCs w:val="32"/>
        </w:rPr>
      </w:pPr>
      <w:r>
        <w:rPr>
          <w:rFonts w:hint="eastAsia" w:ascii="宋体" w:hAnsi="宋体" w:cs="宋体"/>
          <w:color w:val="auto"/>
          <w:kern w:val="0"/>
          <w:sz w:val="32"/>
          <w:szCs w:val="32"/>
        </w:rPr>
        <w:t>项目名称：</w:t>
      </w:r>
      <w:r>
        <w:rPr>
          <w:rFonts w:hint="eastAsia"/>
          <w:color w:val="auto"/>
          <w:sz w:val="32"/>
          <w:szCs w:val="32"/>
          <w:u w:val="single"/>
        </w:rPr>
        <w:t xml:space="preserve">                             </w:t>
      </w:r>
    </w:p>
    <w:p w14:paraId="73BF26AF">
      <w:pPr>
        <w:spacing w:line="360" w:lineRule="auto"/>
        <w:ind w:left="560" w:leftChars="200"/>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p>
    <w:p w14:paraId="371F0CD0">
      <w:pPr>
        <w:spacing w:line="360" w:lineRule="auto"/>
        <w:ind w:left="560" w:leftChars="200"/>
        <w:rPr>
          <w:color w:val="auto"/>
          <w:sz w:val="32"/>
          <w:szCs w:val="32"/>
        </w:rPr>
      </w:pPr>
      <w:r>
        <w:rPr>
          <w:rFonts w:hint="eastAsia"/>
          <w:color w:val="auto"/>
          <w:sz w:val="32"/>
          <w:szCs w:val="32"/>
        </w:rPr>
        <w:t>甲    方：</w:t>
      </w:r>
      <w:r>
        <w:rPr>
          <w:rFonts w:hint="eastAsia"/>
          <w:color w:val="auto"/>
          <w:sz w:val="32"/>
          <w:szCs w:val="32"/>
          <w:u w:val="single"/>
        </w:rPr>
        <w:t xml:space="preserve">                             </w:t>
      </w:r>
    </w:p>
    <w:p w14:paraId="685CA3D4">
      <w:pPr>
        <w:spacing w:line="360" w:lineRule="auto"/>
        <w:ind w:left="560" w:leftChars="200"/>
        <w:rPr>
          <w:color w:val="auto"/>
          <w:sz w:val="32"/>
          <w:szCs w:val="32"/>
          <w:u w:val="single"/>
        </w:rPr>
      </w:pPr>
      <w:r>
        <w:rPr>
          <w:rFonts w:hint="eastAsia"/>
          <w:color w:val="auto"/>
          <w:sz w:val="32"/>
          <w:szCs w:val="32"/>
        </w:rPr>
        <w:t>乙    方：</w:t>
      </w:r>
      <w:r>
        <w:rPr>
          <w:rFonts w:hint="eastAsia"/>
          <w:color w:val="auto"/>
          <w:sz w:val="32"/>
          <w:szCs w:val="32"/>
          <w:u w:val="single"/>
        </w:rPr>
        <w:t xml:space="preserve">                             </w:t>
      </w:r>
    </w:p>
    <w:p w14:paraId="0B8EC548">
      <w:pPr>
        <w:spacing w:line="360" w:lineRule="auto"/>
        <w:ind w:left="560" w:leftChars="200"/>
        <w:rPr>
          <w:color w:val="auto"/>
          <w:sz w:val="32"/>
          <w:szCs w:val="32"/>
        </w:rPr>
      </w:pPr>
      <w:r>
        <w:rPr>
          <w:rFonts w:hint="eastAsia"/>
          <w:color w:val="auto"/>
          <w:sz w:val="32"/>
          <w:szCs w:val="32"/>
        </w:rPr>
        <w:t>签订时间：</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30698077">
      <w:pPr>
        <w:rPr>
          <w:color w:val="auto"/>
        </w:rPr>
      </w:pPr>
    </w:p>
    <w:p w14:paraId="0E149462">
      <w:pPr>
        <w:rPr>
          <w:rFonts w:hint="eastAsia"/>
          <w:color w:val="auto"/>
        </w:rPr>
      </w:pPr>
    </w:p>
    <w:p w14:paraId="72402ABE">
      <w:pPr>
        <w:bidi w:val="0"/>
        <w:rPr>
          <w:rFonts w:hint="eastAsia"/>
          <w:color w:val="auto"/>
          <w:u w:val="single"/>
        </w:rPr>
      </w:pPr>
      <w:r>
        <w:rPr>
          <w:rFonts w:hint="eastAsia"/>
          <w:color w:val="auto"/>
        </w:rPr>
        <w:t xml:space="preserve">甲方（采购人）： </w:t>
      </w:r>
      <w:r>
        <w:rPr>
          <w:rFonts w:hint="eastAsia"/>
          <w:color w:val="auto"/>
          <w:u w:val="single"/>
        </w:rPr>
        <w:t xml:space="preserve"> </w:t>
      </w:r>
      <w:r>
        <w:rPr>
          <w:rFonts w:ascii="宋体" w:hAnsi="宋体" w:eastAsia="宋体" w:cs="宋体"/>
          <w:sz w:val="28"/>
          <w:szCs w:val="28"/>
          <w:u w:val="single"/>
        </w:rPr>
        <w:t>渭南市临渭区民政局</w:t>
      </w:r>
      <w:r>
        <w:rPr>
          <w:rFonts w:hint="eastAsia"/>
          <w:color w:val="auto"/>
          <w:sz w:val="32"/>
          <w:szCs w:val="22"/>
          <w:u w:val="single"/>
        </w:rPr>
        <w:t xml:space="preserve"> </w:t>
      </w:r>
      <w:r>
        <w:rPr>
          <w:rFonts w:hint="eastAsia"/>
          <w:color w:val="auto"/>
          <w:u w:val="single"/>
        </w:rPr>
        <w:t xml:space="preserve">     </w:t>
      </w:r>
    </w:p>
    <w:p w14:paraId="4D3F07ED">
      <w:pPr>
        <w:bidi w:val="0"/>
        <w:rPr>
          <w:rFonts w:hint="eastAsia"/>
          <w:color w:val="auto"/>
        </w:rPr>
      </w:pPr>
      <w:r>
        <w:rPr>
          <w:rFonts w:hint="eastAsia"/>
          <w:color w:val="auto"/>
        </w:rPr>
        <w:t>乙方（中标供应商）：</w:t>
      </w:r>
      <w:r>
        <w:rPr>
          <w:rFonts w:hint="eastAsia"/>
          <w:color w:val="auto"/>
          <w:u w:val="single"/>
        </w:rPr>
        <w:t xml:space="preserve">                            </w:t>
      </w:r>
      <w:r>
        <w:rPr>
          <w:rFonts w:hint="eastAsia"/>
          <w:color w:val="auto"/>
        </w:rPr>
        <w:t xml:space="preserve">                   </w:t>
      </w:r>
    </w:p>
    <w:p w14:paraId="0EF17351">
      <w:pPr>
        <w:bidi w:val="0"/>
        <w:rPr>
          <w:rFonts w:hint="eastAsia"/>
          <w:color w:val="auto"/>
        </w:rPr>
      </w:pPr>
      <w:r>
        <w:rPr>
          <w:rFonts w:hint="eastAsia"/>
          <w:color w:val="auto"/>
          <w:lang w:val="en-US" w:eastAsia="zh-CN"/>
        </w:rPr>
        <w:t>采购代理机构</w:t>
      </w:r>
      <w:r>
        <w:rPr>
          <w:rFonts w:hint="eastAsia"/>
          <w:color w:val="auto"/>
        </w:rPr>
        <w:t>就甲方所需货物，在</w:t>
      </w:r>
      <w:r>
        <w:rPr>
          <w:rFonts w:hint="eastAsia"/>
          <w:color w:val="auto"/>
          <w:lang w:val="en-US" w:eastAsia="zh-CN"/>
        </w:rPr>
        <w:t>渭南</w:t>
      </w:r>
      <w:r>
        <w:rPr>
          <w:rFonts w:hint="eastAsia"/>
          <w:color w:val="auto"/>
        </w:rPr>
        <w:t>市</w:t>
      </w:r>
      <w:r>
        <w:rPr>
          <w:rFonts w:hint="eastAsia"/>
          <w:color w:val="auto"/>
          <w:lang w:val="en-US" w:eastAsia="zh-CN"/>
        </w:rPr>
        <w:t>临渭区</w:t>
      </w:r>
      <w:r>
        <w:rPr>
          <w:rFonts w:hint="eastAsia"/>
          <w:color w:val="auto"/>
        </w:rPr>
        <w:t>财政局的监督管理下，按照政府采购程序组织公开招标，确定乙方为</w:t>
      </w:r>
      <w:r>
        <w:rPr>
          <w:rFonts w:hint="eastAsia"/>
          <w:color w:val="auto"/>
          <w:u w:val="single"/>
        </w:rPr>
        <w:t>渭南市临渭区中心敬老院适老化改造与基础设施提升项目</w:t>
      </w:r>
      <w:r>
        <w:rPr>
          <w:rFonts w:hint="eastAsia"/>
          <w:color w:val="auto"/>
        </w:rPr>
        <w:t xml:space="preserve">（项目编号：  </w:t>
      </w:r>
      <w:r>
        <w:rPr>
          <w:rFonts w:hint="eastAsia"/>
          <w:color w:val="auto"/>
          <w:lang w:val="en-US" w:eastAsia="zh-CN"/>
        </w:rPr>
        <w:t xml:space="preserve">  </w:t>
      </w:r>
      <w:r>
        <w:rPr>
          <w:rFonts w:hint="eastAsia"/>
          <w:color w:val="auto"/>
        </w:rPr>
        <w:t>）中标供应商。根据《中华人民共和国政府采购法》及实施条例、《中华人民共和国民法典》及其他有关法律、法规，以及项目的招标文件、投标文件，经甲、乙双方协商，鉴证方确认，达成如下合同条款。</w:t>
      </w:r>
    </w:p>
    <w:p w14:paraId="10F7BA0A">
      <w:pPr>
        <w:bidi w:val="0"/>
        <w:outlineLvl w:val="1"/>
        <w:rPr>
          <w:rFonts w:hint="eastAsia"/>
          <w:color w:val="auto"/>
        </w:rPr>
      </w:pPr>
      <w:bookmarkStart w:id="1" w:name="_Toc8009"/>
      <w:bookmarkStart w:id="2" w:name="_Toc15279"/>
      <w:bookmarkStart w:id="3" w:name="_Toc2071"/>
      <w:r>
        <w:rPr>
          <w:rFonts w:hint="eastAsia"/>
          <w:color w:val="auto"/>
        </w:rPr>
        <w:t>第一条 合同标的及数量</w:t>
      </w:r>
      <w:bookmarkEnd w:id="1"/>
      <w:bookmarkEnd w:id="2"/>
      <w:bookmarkEnd w:id="3"/>
    </w:p>
    <w:p w14:paraId="3C96DAF1">
      <w:pPr>
        <w:bidi w:val="0"/>
        <w:rPr>
          <w:rFonts w:hint="eastAsia"/>
          <w:color w:val="auto"/>
        </w:rPr>
      </w:pPr>
      <w:r>
        <w:rPr>
          <w:rFonts w:hint="eastAsia"/>
          <w:color w:val="auto"/>
        </w:rPr>
        <w:t>乙方向甲方提供下列货物（产品）：</w:t>
      </w:r>
    </w:p>
    <w:p w14:paraId="374C176A">
      <w:pPr>
        <w:bidi w:val="0"/>
        <w:rPr>
          <w:rFonts w:hint="eastAsia"/>
          <w:color w:val="auto"/>
        </w:rPr>
      </w:pPr>
      <w:r>
        <w:rPr>
          <w:rFonts w:hint="eastAsia"/>
          <w:color w:val="auto"/>
        </w:rPr>
        <w:t>供货一览表</w:t>
      </w:r>
    </w:p>
    <w:tbl>
      <w:tblPr>
        <w:tblStyle w:val="8"/>
        <w:tblW w:w="9432" w:type="dxa"/>
        <w:tblInd w:w="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4"/>
        <w:gridCol w:w="1625"/>
        <w:gridCol w:w="1339"/>
        <w:gridCol w:w="1337"/>
        <w:gridCol w:w="1339"/>
        <w:gridCol w:w="1339"/>
        <w:gridCol w:w="1389"/>
      </w:tblGrid>
      <w:tr w14:paraId="2DDD6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1064" w:type="dxa"/>
            <w:tcBorders>
              <w:top w:val="single" w:color="auto" w:sz="4" w:space="0"/>
              <w:left w:val="single" w:color="auto" w:sz="4" w:space="0"/>
              <w:bottom w:val="single" w:color="auto" w:sz="4" w:space="0"/>
              <w:right w:val="single" w:color="auto" w:sz="4" w:space="0"/>
            </w:tcBorders>
            <w:vAlign w:val="top"/>
          </w:tcPr>
          <w:p w14:paraId="6AEECBC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产品名称</w:t>
            </w:r>
          </w:p>
        </w:tc>
        <w:tc>
          <w:tcPr>
            <w:tcW w:w="1625" w:type="dxa"/>
            <w:tcBorders>
              <w:top w:val="single" w:color="auto" w:sz="4" w:space="0"/>
              <w:left w:val="single" w:color="auto" w:sz="4" w:space="0"/>
              <w:bottom w:val="single" w:color="auto" w:sz="4" w:space="0"/>
              <w:right w:val="single" w:color="auto" w:sz="4" w:space="0"/>
            </w:tcBorders>
            <w:vAlign w:val="top"/>
          </w:tcPr>
          <w:p w14:paraId="4654BF8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型号规格</w:t>
            </w:r>
          </w:p>
        </w:tc>
        <w:tc>
          <w:tcPr>
            <w:tcW w:w="1339" w:type="dxa"/>
            <w:tcBorders>
              <w:top w:val="single" w:color="auto" w:sz="4" w:space="0"/>
              <w:left w:val="single" w:color="auto" w:sz="4" w:space="0"/>
              <w:bottom w:val="single" w:color="auto" w:sz="4" w:space="0"/>
              <w:right w:val="single" w:color="auto" w:sz="4" w:space="0"/>
            </w:tcBorders>
            <w:vAlign w:val="top"/>
          </w:tcPr>
          <w:p w14:paraId="223D355C">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r>
              <w:rPr>
                <w:rFonts w:hint="eastAsia"/>
                <w:color w:val="auto"/>
              </w:rPr>
              <w:t>单位</w:t>
            </w:r>
          </w:p>
        </w:tc>
        <w:tc>
          <w:tcPr>
            <w:tcW w:w="1337" w:type="dxa"/>
            <w:tcBorders>
              <w:top w:val="single" w:color="auto" w:sz="4" w:space="0"/>
              <w:left w:val="single" w:color="auto" w:sz="4" w:space="0"/>
              <w:bottom w:val="single" w:color="auto" w:sz="4" w:space="0"/>
              <w:right w:val="single" w:color="auto" w:sz="4" w:space="0"/>
            </w:tcBorders>
            <w:vAlign w:val="top"/>
          </w:tcPr>
          <w:p w14:paraId="2E53920F">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r>
              <w:rPr>
                <w:rFonts w:hint="eastAsia"/>
                <w:color w:val="auto"/>
              </w:rPr>
              <w:t>数量</w:t>
            </w:r>
          </w:p>
        </w:tc>
        <w:tc>
          <w:tcPr>
            <w:tcW w:w="1339" w:type="dxa"/>
            <w:tcBorders>
              <w:top w:val="single" w:color="auto" w:sz="4" w:space="0"/>
              <w:left w:val="single" w:color="auto" w:sz="4" w:space="0"/>
              <w:bottom w:val="single" w:color="auto" w:sz="4" w:space="0"/>
              <w:right w:val="single" w:color="auto" w:sz="4" w:space="0"/>
            </w:tcBorders>
            <w:vAlign w:val="top"/>
          </w:tcPr>
          <w:p w14:paraId="76EDCDB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单价</w:t>
            </w:r>
          </w:p>
          <w:p w14:paraId="3FA544D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（元）</w:t>
            </w:r>
          </w:p>
        </w:tc>
        <w:tc>
          <w:tcPr>
            <w:tcW w:w="1339" w:type="dxa"/>
            <w:tcBorders>
              <w:top w:val="single" w:color="auto" w:sz="4" w:space="0"/>
              <w:left w:val="single" w:color="auto" w:sz="4" w:space="0"/>
              <w:bottom w:val="single" w:color="auto" w:sz="4" w:space="0"/>
              <w:right w:val="single" w:color="auto" w:sz="4" w:space="0"/>
            </w:tcBorders>
            <w:vAlign w:val="top"/>
          </w:tcPr>
          <w:p w14:paraId="79A327B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金额</w:t>
            </w:r>
          </w:p>
          <w:p w14:paraId="3E85F3B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（元）</w:t>
            </w:r>
          </w:p>
        </w:tc>
        <w:tc>
          <w:tcPr>
            <w:tcW w:w="1389" w:type="dxa"/>
            <w:tcBorders>
              <w:top w:val="single" w:color="auto" w:sz="4" w:space="0"/>
              <w:left w:val="single" w:color="auto" w:sz="4" w:space="0"/>
              <w:bottom w:val="single" w:color="auto" w:sz="4" w:space="0"/>
              <w:right w:val="single" w:color="auto" w:sz="4" w:space="0"/>
            </w:tcBorders>
            <w:vAlign w:val="top"/>
          </w:tcPr>
          <w:p w14:paraId="66BE393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随机配件</w:t>
            </w:r>
          </w:p>
        </w:tc>
      </w:tr>
      <w:tr w14:paraId="7EAC8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64" w:type="dxa"/>
            <w:tcBorders>
              <w:top w:val="single" w:color="auto" w:sz="4" w:space="0"/>
              <w:left w:val="single" w:color="auto" w:sz="4" w:space="0"/>
              <w:bottom w:val="single" w:color="auto" w:sz="4" w:space="0"/>
              <w:right w:val="single" w:color="auto" w:sz="4" w:space="0"/>
            </w:tcBorders>
            <w:vAlign w:val="top"/>
          </w:tcPr>
          <w:p w14:paraId="58BC7BCC">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625" w:type="dxa"/>
            <w:tcBorders>
              <w:top w:val="single" w:color="auto" w:sz="4" w:space="0"/>
              <w:left w:val="single" w:color="auto" w:sz="4" w:space="0"/>
              <w:bottom w:val="single" w:color="auto" w:sz="4" w:space="0"/>
              <w:right w:val="single" w:color="auto" w:sz="4" w:space="0"/>
            </w:tcBorders>
            <w:vAlign w:val="top"/>
          </w:tcPr>
          <w:p w14:paraId="1EC21BBC">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16FBA706">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7" w:type="dxa"/>
            <w:tcBorders>
              <w:top w:val="single" w:color="auto" w:sz="4" w:space="0"/>
              <w:left w:val="single" w:color="auto" w:sz="4" w:space="0"/>
              <w:bottom w:val="single" w:color="auto" w:sz="4" w:space="0"/>
              <w:right w:val="single" w:color="auto" w:sz="4" w:space="0"/>
            </w:tcBorders>
            <w:vAlign w:val="top"/>
          </w:tcPr>
          <w:p w14:paraId="2C11AC44">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53ED7F1A">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1941DD45">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89" w:type="dxa"/>
            <w:tcBorders>
              <w:top w:val="single" w:color="auto" w:sz="4" w:space="0"/>
              <w:left w:val="single" w:color="auto" w:sz="4" w:space="0"/>
              <w:bottom w:val="single" w:color="auto" w:sz="4" w:space="0"/>
              <w:right w:val="single" w:color="auto" w:sz="4" w:space="0"/>
            </w:tcBorders>
            <w:vAlign w:val="top"/>
          </w:tcPr>
          <w:p w14:paraId="726D1530">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r>
      <w:tr w14:paraId="1C0A6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64" w:type="dxa"/>
            <w:tcBorders>
              <w:top w:val="single" w:color="auto" w:sz="4" w:space="0"/>
              <w:left w:val="single" w:color="auto" w:sz="4" w:space="0"/>
              <w:bottom w:val="single" w:color="auto" w:sz="4" w:space="0"/>
              <w:right w:val="single" w:color="auto" w:sz="4" w:space="0"/>
            </w:tcBorders>
            <w:vAlign w:val="top"/>
          </w:tcPr>
          <w:p w14:paraId="0CCE6459">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625" w:type="dxa"/>
            <w:tcBorders>
              <w:top w:val="single" w:color="auto" w:sz="4" w:space="0"/>
              <w:left w:val="single" w:color="auto" w:sz="4" w:space="0"/>
              <w:bottom w:val="single" w:color="auto" w:sz="4" w:space="0"/>
              <w:right w:val="single" w:color="auto" w:sz="4" w:space="0"/>
            </w:tcBorders>
            <w:vAlign w:val="top"/>
          </w:tcPr>
          <w:p w14:paraId="593DFAC1">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054B9A23">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7" w:type="dxa"/>
            <w:tcBorders>
              <w:top w:val="single" w:color="auto" w:sz="4" w:space="0"/>
              <w:left w:val="single" w:color="auto" w:sz="4" w:space="0"/>
              <w:bottom w:val="single" w:color="auto" w:sz="4" w:space="0"/>
              <w:right w:val="single" w:color="auto" w:sz="4" w:space="0"/>
            </w:tcBorders>
            <w:vAlign w:val="top"/>
          </w:tcPr>
          <w:p w14:paraId="7226AF40">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32F8DC4D">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702A1FFA">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89" w:type="dxa"/>
            <w:tcBorders>
              <w:top w:val="single" w:color="auto" w:sz="4" w:space="0"/>
              <w:left w:val="single" w:color="auto" w:sz="4" w:space="0"/>
              <w:bottom w:val="single" w:color="auto" w:sz="4" w:space="0"/>
              <w:right w:val="single" w:color="auto" w:sz="4" w:space="0"/>
            </w:tcBorders>
            <w:vAlign w:val="top"/>
          </w:tcPr>
          <w:p w14:paraId="25E17976">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r>
      <w:tr w14:paraId="14AE3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64" w:type="dxa"/>
            <w:tcBorders>
              <w:top w:val="single" w:color="auto" w:sz="4" w:space="0"/>
              <w:left w:val="single" w:color="auto" w:sz="4" w:space="0"/>
              <w:bottom w:val="single" w:color="auto" w:sz="4" w:space="0"/>
              <w:right w:val="single" w:color="auto" w:sz="4" w:space="0"/>
            </w:tcBorders>
            <w:vAlign w:val="top"/>
          </w:tcPr>
          <w:p w14:paraId="16E71EB0">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625" w:type="dxa"/>
            <w:tcBorders>
              <w:top w:val="single" w:color="auto" w:sz="4" w:space="0"/>
              <w:left w:val="single" w:color="auto" w:sz="4" w:space="0"/>
              <w:bottom w:val="single" w:color="auto" w:sz="4" w:space="0"/>
              <w:right w:val="single" w:color="auto" w:sz="4" w:space="0"/>
            </w:tcBorders>
            <w:vAlign w:val="top"/>
          </w:tcPr>
          <w:p w14:paraId="67DAFA24">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78C8FC4A">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7" w:type="dxa"/>
            <w:tcBorders>
              <w:top w:val="single" w:color="auto" w:sz="4" w:space="0"/>
              <w:left w:val="single" w:color="auto" w:sz="4" w:space="0"/>
              <w:bottom w:val="single" w:color="auto" w:sz="4" w:space="0"/>
              <w:right w:val="single" w:color="auto" w:sz="4" w:space="0"/>
            </w:tcBorders>
            <w:vAlign w:val="top"/>
          </w:tcPr>
          <w:p w14:paraId="60E0612C">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05A6D039">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5736B12E">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89" w:type="dxa"/>
            <w:tcBorders>
              <w:top w:val="single" w:color="auto" w:sz="4" w:space="0"/>
              <w:left w:val="single" w:color="auto" w:sz="4" w:space="0"/>
              <w:bottom w:val="single" w:color="auto" w:sz="4" w:space="0"/>
              <w:right w:val="single" w:color="auto" w:sz="4" w:space="0"/>
            </w:tcBorders>
            <w:vAlign w:val="top"/>
          </w:tcPr>
          <w:p w14:paraId="29A9F6C5">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r>
      <w:tr w14:paraId="02537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64" w:type="dxa"/>
            <w:tcBorders>
              <w:top w:val="single" w:color="auto" w:sz="4" w:space="0"/>
              <w:left w:val="single" w:color="auto" w:sz="4" w:space="0"/>
              <w:bottom w:val="single" w:color="auto" w:sz="4" w:space="0"/>
              <w:right w:val="single" w:color="auto" w:sz="4" w:space="0"/>
            </w:tcBorders>
            <w:vAlign w:val="top"/>
          </w:tcPr>
          <w:p w14:paraId="2B784BFC">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625" w:type="dxa"/>
            <w:tcBorders>
              <w:top w:val="single" w:color="auto" w:sz="4" w:space="0"/>
              <w:left w:val="single" w:color="auto" w:sz="4" w:space="0"/>
              <w:bottom w:val="single" w:color="auto" w:sz="4" w:space="0"/>
              <w:right w:val="single" w:color="auto" w:sz="4" w:space="0"/>
            </w:tcBorders>
            <w:vAlign w:val="top"/>
          </w:tcPr>
          <w:p w14:paraId="6C5B5B04">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2338312F">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7" w:type="dxa"/>
            <w:tcBorders>
              <w:top w:val="single" w:color="auto" w:sz="4" w:space="0"/>
              <w:left w:val="single" w:color="auto" w:sz="4" w:space="0"/>
              <w:bottom w:val="single" w:color="auto" w:sz="4" w:space="0"/>
              <w:right w:val="single" w:color="auto" w:sz="4" w:space="0"/>
            </w:tcBorders>
            <w:vAlign w:val="top"/>
          </w:tcPr>
          <w:p w14:paraId="6CB21A85">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25356E35">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39" w:type="dxa"/>
            <w:tcBorders>
              <w:top w:val="single" w:color="auto" w:sz="4" w:space="0"/>
              <w:left w:val="single" w:color="auto" w:sz="4" w:space="0"/>
              <w:bottom w:val="single" w:color="auto" w:sz="4" w:space="0"/>
              <w:right w:val="single" w:color="auto" w:sz="4" w:space="0"/>
            </w:tcBorders>
            <w:vAlign w:val="top"/>
          </w:tcPr>
          <w:p w14:paraId="33C0B042">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1389" w:type="dxa"/>
            <w:tcBorders>
              <w:top w:val="single" w:color="auto" w:sz="4" w:space="0"/>
              <w:left w:val="single" w:color="auto" w:sz="4" w:space="0"/>
              <w:bottom w:val="single" w:color="auto" w:sz="4" w:space="0"/>
              <w:right w:val="single" w:color="auto" w:sz="4" w:space="0"/>
            </w:tcBorders>
            <w:vAlign w:val="top"/>
          </w:tcPr>
          <w:p w14:paraId="216A56FE">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r>
      <w:tr w14:paraId="0E24B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064" w:type="dxa"/>
            <w:tcBorders>
              <w:top w:val="single" w:color="auto" w:sz="4" w:space="0"/>
              <w:left w:val="single" w:color="auto" w:sz="4" w:space="0"/>
              <w:bottom w:val="single" w:color="auto" w:sz="4" w:space="0"/>
              <w:right w:val="single" w:color="auto" w:sz="4" w:space="0"/>
            </w:tcBorders>
            <w:vAlign w:val="top"/>
          </w:tcPr>
          <w:p w14:paraId="45EFB2D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合计（大写）</w:t>
            </w:r>
          </w:p>
        </w:tc>
        <w:tc>
          <w:tcPr>
            <w:tcW w:w="4301" w:type="dxa"/>
            <w:gridSpan w:val="3"/>
            <w:tcBorders>
              <w:top w:val="single" w:color="auto" w:sz="4" w:space="0"/>
              <w:left w:val="single" w:color="auto" w:sz="4" w:space="0"/>
              <w:bottom w:val="single" w:color="auto" w:sz="4" w:space="0"/>
              <w:right w:val="single" w:color="auto" w:sz="4" w:space="0"/>
            </w:tcBorders>
            <w:vAlign w:val="top"/>
          </w:tcPr>
          <w:p w14:paraId="42D8FCD9">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textAlignment w:val="baseline"/>
              <w:rPr>
                <w:rFonts w:hint="eastAsia"/>
                <w:color w:val="auto"/>
              </w:rPr>
            </w:pPr>
          </w:p>
        </w:tc>
        <w:tc>
          <w:tcPr>
            <w:tcW w:w="4067" w:type="dxa"/>
            <w:gridSpan w:val="3"/>
            <w:tcBorders>
              <w:top w:val="single" w:color="auto" w:sz="4" w:space="0"/>
              <w:left w:val="single" w:color="auto" w:sz="4" w:space="0"/>
              <w:bottom w:val="single" w:color="auto" w:sz="4" w:space="0"/>
              <w:right w:val="single" w:color="auto" w:sz="4" w:space="0"/>
            </w:tcBorders>
            <w:vAlign w:val="top"/>
          </w:tcPr>
          <w:p w14:paraId="7916F13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textAlignment w:val="baseline"/>
              <w:rPr>
                <w:rFonts w:hint="eastAsia"/>
                <w:color w:val="auto"/>
              </w:rPr>
            </w:pPr>
            <w:r>
              <w:rPr>
                <w:rFonts w:hint="eastAsia"/>
                <w:color w:val="auto"/>
              </w:rPr>
              <w:t>小写： ￥</w:t>
            </w:r>
          </w:p>
        </w:tc>
      </w:tr>
    </w:tbl>
    <w:p w14:paraId="7E8F74B0">
      <w:pPr>
        <w:bidi w:val="0"/>
        <w:outlineLvl w:val="1"/>
        <w:rPr>
          <w:rFonts w:hint="eastAsia"/>
          <w:color w:val="auto"/>
        </w:rPr>
      </w:pPr>
      <w:bookmarkStart w:id="4" w:name="_Toc27975"/>
      <w:bookmarkStart w:id="5" w:name="_Toc28727"/>
      <w:bookmarkStart w:id="6" w:name="_Toc19390"/>
      <w:r>
        <w:rPr>
          <w:rFonts w:hint="eastAsia"/>
          <w:color w:val="auto"/>
        </w:rPr>
        <w:t>第二条 合同价款</w:t>
      </w:r>
      <w:bookmarkEnd w:id="4"/>
      <w:bookmarkEnd w:id="5"/>
      <w:bookmarkEnd w:id="6"/>
    </w:p>
    <w:p w14:paraId="44FBDAC6">
      <w:pPr>
        <w:bidi w:val="0"/>
        <w:rPr>
          <w:rFonts w:hint="eastAsia"/>
          <w:color w:val="auto"/>
        </w:rPr>
      </w:pPr>
      <w:r>
        <w:rPr>
          <w:rFonts w:hint="eastAsia"/>
          <w:color w:val="auto"/>
        </w:rPr>
        <w:t>1、合同总价为人民币大写：</w:t>
      </w:r>
      <w:r>
        <w:rPr>
          <w:rFonts w:hint="eastAsia"/>
          <w:color w:val="auto"/>
          <w:u w:val="single"/>
        </w:rPr>
        <w:t xml:space="preserve">        </w:t>
      </w:r>
      <w:r>
        <w:rPr>
          <w:rFonts w:hint="eastAsia"/>
          <w:color w:val="auto"/>
        </w:rPr>
        <w:t xml:space="preserve"> ， RMB￥：</w:t>
      </w:r>
      <w:r>
        <w:rPr>
          <w:rFonts w:hint="eastAsia"/>
          <w:color w:val="auto"/>
          <w:u w:val="single"/>
        </w:rPr>
        <w:t xml:space="preserve">      </w:t>
      </w:r>
      <w:r>
        <w:rPr>
          <w:rFonts w:hint="eastAsia"/>
          <w:color w:val="auto"/>
        </w:rPr>
        <w:t>元。</w:t>
      </w:r>
    </w:p>
    <w:p w14:paraId="0428F969">
      <w:pPr>
        <w:bidi w:val="0"/>
        <w:rPr>
          <w:rFonts w:hint="eastAsia"/>
          <w:color w:val="auto"/>
        </w:rPr>
      </w:pPr>
      <w:r>
        <w:rPr>
          <w:rFonts w:hint="eastAsia"/>
          <w:color w:val="auto"/>
        </w:rPr>
        <w:t>2、本合同总价是货物（产品）、运输、安装、调试、技术培训及相应保险、验收费用等。</w:t>
      </w:r>
    </w:p>
    <w:p w14:paraId="067D9732">
      <w:pPr>
        <w:bidi w:val="0"/>
        <w:rPr>
          <w:rFonts w:hint="eastAsia"/>
          <w:color w:val="auto"/>
        </w:rPr>
      </w:pPr>
      <w:r>
        <w:rPr>
          <w:rFonts w:hint="eastAsia"/>
          <w:color w:val="auto"/>
        </w:rPr>
        <w:t>3、本合同总价还包含乙方应当提供的伴随服务和售后服务费用。合同总价一次包死， 不受市场价变化的影响。</w:t>
      </w:r>
    </w:p>
    <w:p w14:paraId="76A2D8A5">
      <w:pPr>
        <w:bidi w:val="0"/>
        <w:rPr>
          <w:rFonts w:hint="eastAsia"/>
          <w:color w:val="auto"/>
        </w:rPr>
      </w:pPr>
      <w:r>
        <w:rPr>
          <w:rFonts w:hint="eastAsia"/>
          <w:color w:val="auto"/>
        </w:rPr>
        <w:t>4、本合同执行期间合同总价不变， 甲方无须另向乙方支付本合同规定之外的其他任何费用。</w:t>
      </w:r>
    </w:p>
    <w:p w14:paraId="3D706BCF">
      <w:pPr>
        <w:bidi w:val="0"/>
        <w:outlineLvl w:val="1"/>
        <w:rPr>
          <w:rFonts w:hint="eastAsia"/>
          <w:color w:val="auto"/>
        </w:rPr>
      </w:pPr>
      <w:bookmarkStart w:id="7" w:name="_Toc1844"/>
      <w:bookmarkStart w:id="8" w:name="_Toc21250"/>
      <w:bookmarkStart w:id="9" w:name="_Toc20707"/>
      <w:r>
        <w:rPr>
          <w:rFonts w:hint="eastAsia"/>
          <w:color w:val="auto"/>
        </w:rPr>
        <w:t>第三条 货款支付</w:t>
      </w:r>
      <w:bookmarkEnd w:id="7"/>
      <w:bookmarkEnd w:id="8"/>
      <w:bookmarkEnd w:id="9"/>
    </w:p>
    <w:p w14:paraId="2FCCE03F">
      <w:pPr>
        <w:bidi w:val="0"/>
        <w:rPr>
          <w:rFonts w:hint="eastAsia"/>
          <w:color w:val="auto"/>
        </w:rPr>
      </w:pPr>
      <w:r>
        <w:rPr>
          <w:rFonts w:hint="eastAsia"/>
          <w:color w:val="auto"/>
        </w:rPr>
        <w:t>1、货物（产品）按下列比例支付价款：</w:t>
      </w:r>
    </w:p>
    <w:p w14:paraId="6EB83DA3">
      <w:pPr>
        <w:bidi w:val="0"/>
        <w:outlineLvl w:val="2"/>
        <w:rPr>
          <w:rFonts w:hint="eastAsia" w:ascii="宋体" w:hAnsi="宋体" w:cs="宋体"/>
          <w:color w:val="auto"/>
          <w:lang w:val="en-US" w:eastAsia="zh-CN"/>
        </w:rPr>
      </w:pPr>
      <w:bookmarkStart w:id="10" w:name="_Toc10886"/>
      <w:bookmarkStart w:id="11" w:name="_Toc28106"/>
      <w:r>
        <w:rPr>
          <w:rFonts w:hint="eastAsia" w:ascii="宋体" w:hAnsi="宋体" w:cs="宋体"/>
          <w:color w:val="auto"/>
          <w:lang w:eastAsia="zh-CN"/>
        </w:rPr>
        <w:t>（</w:t>
      </w:r>
      <w:r>
        <w:rPr>
          <w:rFonts w:hint="eastAsia" w:ascii="宋体" w:hAnsi="宋体" w:cs="宋体"/>
          <w:color w:val="auto"/>
          <w:lang w:val="en-US" w:eastAsia="zh-CN"/>
        </w:rPr>
        <w:t>1</w:t>
      </w:r>
      <w:r>
        <w:rPr>
          <w:rFonts w:hint="eastAsia" w:ascii="宋体" w:hAnsi="宋体" w:cs="宋体"/>
          <w:color w:val="auto"/>
          <w:lang w:eastAsia="zh-CN"/>
        </w:rPr>
        <w:t>）</w:t>
      </w:r>
      <w:r>
        <w:rPr>
          <w:rFonts w:hint="eastAsia" w:ascii="宋体" w:hAnsi="宋体" w:cs="宋体"/>
          <w:color w:val="auto"/>
          <w:lang w:val="en-US" w:eastAsia="zh-CN"/>
        </w:rPr>
        <w:t xml:space="preserve">合同签订后支付 40%合同价款作为预付款， 待整体项目验收合格后支付合同价款60%。 </w:t>
      </w:r>
    </w:p>
    <w:p w14:paraId="777FB0ED">
      <w:pPr>
        <w:bidi w:val="0"/>
        <w:outlineLvl w:val="2"/>
        <w:rPr>
          <w:rFonts w:hint="eastAsia" w:ascii="宋体" w:hAnsi="宋体" w:eastAsia="宋体" w:cs="宋体"/>
          <w:color w:val="auto"/>
        </w:rPr>
      </w:pPr>
      <w:r>
        <w:rPr>
          <w:rFonts w:hint="eastAsia" w:ascii="宋体" w:hAnsi="宋体" w:cs="宋体"/>
          <w:color w:val="auto"/>
          <w:lang w:eastAsia="zh-CN"/>
        </w:rPr>
        <w:t>（</w:t>
      </w:r>
      <w:r>
        <w:rPr>
          <w:rFonts w:hint="eastAsia" w:ascii="宋体" w:hAnsi="宋体" w:cs="宋体"/>
          <w:color w:val="auto"/>
          <w:lang w:val="en-US" w:eastAsia="zh-CN"/>
        </w:rPr>
        <w:t>2</w:t>
      </w:r>
      <w:r>
        <w:rPr>
          <w:rFonts w:hint="eastAsia" w:ascii="宋体" w:hAnsi="宋体" w:cs="宋体"/>
          <w:color w:val="auto"/>
          <w:lang w:eastAsia="zh-CN"/>
        </w:rPr>
        <w:t>）</w:t>
      </w:r>
      <w:r>
        <w:rPr>
          <w:rFonts w:hint="eastAsia" w:ascii="宋体" w:hAnsi="宋体" w:eastAsia="宋体" w:cs="宋体"/>
          <w:color w:val="auto"/>
        </w:rPr>
        <w:t>中标供应商承诺在采购人办理以上各期付款的支付手续前，为采购人出具等额的符合国家规定的发票。</w:t>
      </w:r>
    </w:p>
    <w:p w14:paraId="3238EDE6">
      <w:pPr>
        <w:bidi w:val="0"/>
        <w:outlineLvl w:val="1"/>
        <w:rPr>
          <w:rFonts w:hint="eastAsia" w:ascii="宋体" w:hAnsi="宋体" w:eastAsia="宋体" w:cs="宋体"/>
          <w:color w:val="auto"/>
        </w:rPr>
      </w:pPr>
      <w:bookmarkStart w:id="12" w:name="_Toc7722"/>
      <w:r>
        <w:rPr>
          <w:rFonts w:hint="eastAsia" w:ascii="宋体" w:hAnsi="宋体" w:cs="宋体"/>
          <w:color w:val="auto"/>
          <w:lang w:eastAsia="zh-CN"/>
        </w:rPr>
        <w:t>（</w:t>
      </w:r>
      <w:r>
        <w:rPr>
          <w:rFonts w:hint="eastAsia" w:ascii="宋体" w:hAnsi="宋体" w:cs="宋体"/>
          <w:color w:val="auto"/>
          <w:lang w:val="en-US" w:eastAsia="zh-CN"/>
        </w:rPr>
        <w:t>3</w:t>
      </w:r>
      <w:r>
        <w:rPr>
          <w:rFonts w:hint="eastAsia" w:ascii="宋体" w:hAnsi="宋体" w:cs="宋体"/>
          <w:color w:val="auto"/>
          <w:lang w:eastAsia="zh-CN"/>
        </w:rPr>
        <w:t>）</w:t>
      </w:r>
      <w:r>
        <w:rPr>
          <w:rFonts w:hint="eastAsia" w:ascii="宋体" w:hAnsi="宋体" w:eastAsia="宋体" w:cs="宋体"/>
          <w:color w:val="auto"/>
        </w:rPr>
        <w:t>资金支付方式： 银行转账。</w:t>
      </w:r>
      <w:bookmarkEnd w:id="12"/>
    </w:p>
    <w:p w14:paraId="3973CD83">
      <w:pPr>
        <w:bidi w:val="0"/>
        <w:outlineLvl w:val="1"/>
        <w:rPr>
          <w:rFonts w:hint="eastAsia"/>
          <w:color w:val="auto"/>
        </w:rPr>
      </w:pPr>
      <w:bookmarkStart w:id="13" w:name="_Toc31009"/>
      <w:r>
        <w:rPr>
          <w:rFonts w:hint="eastAsia"/>
          <w:color w:val="auto"/>
        </w:rPr>
        <w:t>第四条 供货周期与地点</w:t>
      </w:r>
      <w:bookmarkEnd w:id="10"/>
      <w:bookmarkEnd w:id="11"/>
      <w:bookmarkEnd w:id="13"/>
    </w:p>
    <w:p w14:paraId="4E9A97A2">
      <w:pPr>
        <w:bidi w:val="0"/>
        <w:rPr>
          <w:rFonts w:hint="eastAsia"/>
          <w:color w:val="auto"/>
        </w:rPr>
      </w:pPr>
      <w:r>
        <w:rPr>
          <w:rFonts w:hint="eastAsia"/>
          <w:color w:val="auto"/>
        </w:rPr>
        <w:t>乙方在合同签订生效之日起， 按甲方指定时间、地点交货。</w:t>
      </w:r>
    </w:p>
    <w:p w14:paraId="7E9B599A">
      <w:pPr>
        <w:bidi w:val="0"/>
        <w:outlineLvl w:val="2"/>
        <w:rPr>
          <w:rFonts w:hint="default"/>
          <w:color w:val="auto"/>
          <w:lang w:val="en-US"/>
        </w:rPr>
      </w:pPr>
      <w:bookmarkStart w:id="14" w:name="_Toc28055"/>
      <w:bookmarkStart w:id="15" w:name="_Toc30987"/>
      <w:r>
        <w:rPr>
          <w:rFonts w:hint="eastAsia"/>
          <w:color w:val="auto"/>
        </w:rPr>
        <w:t>1、交付期：</w:t>
      </w:r>
      <w:r>
        <w:rPr>
          <w:rFonts w:hint="eastAsia"/>
          <w:color w:val="auto"/>
          <w:u w:val="single"/>
        </w:rPr>
        <w:t xml:space="preserve"> </w:t>
      </w:r>
      <w:r>
        <w:rPr>
          <w:rFonts w:hint="eastAsia"/>
          <w:color w:val="auto"/>
          <w:u w:val="single"/>
          <w:lang w:val="en-US" w:eastAsia="zh-CN"/>
        </w:rPr>
        <w:t xml:space="preserve">    </w:t>
      </w:r>
      <w:bookmarkEnd w:id="14"/>
      <w:bookmarkEnd w:id="15"/>
      <w:r>
        <w:rPr>
          <w:rFonts w:hint="eastAsia"/>
          <w:color w:val="auto"/>
          <w:u w:val="single"/>
          <w:lang w:val="en-US" w:eastAsia="zh-CN"/>
        </w:rPr>
        <w:t xml:space="preserve">   </w:t>
      </w:r>
    </w:p>
    <w:p w14:paraId="0360937E">
      <w:pPr>
        <w:bidi w:val="0"/>
        <w:rPr>
          <w:rFonts w:hint="eastAsia"/>
          <w:color w:val="auto"/>
        </w:rPr>
      </w:pPr>
      <w:r>
        <w:rPr>
          <w:rFonts w:hint="eastAsia"/>
          <w:color w:val="auto"/>
        </w:rPr>
        <w:t>2、质保期： 货物（产品） 的质保期</w:t>
      </w:r>
      <w:r>
        <w:rPr>
          <w:rFonts w:hint="eastAsia"/>
          <w:color w:val="auto"/>
          <w:lang w:val="en-US" w:eastAsia="zh-CN"/>
        </w:rPr>
        <w:t>不少于1</w:t>
      </w:r>
      <w:r>
        <w:rPr>
          <w:rFonts w:hint="eastAsia"/>
          <w:color w:val="auto"/>
        </w:rPr>
        <w:t>年，且不得低于产品生产商对产品保修期标准。</w:t>
      </w:r>
    </w:p>
    <w:p w14:paraId="74A82A3B">
      <w:pPr>
        <w:bidi w:val="0"/>
        <w:rPr>
          <w:rFonts w:hint="default" w:eastAsia="宋体"/>
          <w:color w:val="auto"/>
          <w:lang w:val="en-US" w:eastAsia="zh-CN"/>
        </w:rPr>
      </w:pPr>
      <w:bookmarkStart w:id="16" w:name="_Toc493"/>
      <w:bookmarkStart w:id="17" w:name="_Toc5894"/>
      <w:r>
        <w:rPr>
          <w:rFonts w:hint="eastAsia" w:eastAsia="宋体"/>
          <w:color w:val="auto"/>
        </w:rPr>
        <w:t>3、实施地点：</w:t>
      </w:r>
      <w:bookmarkEnd w:id="16"/>
      <w:bookmarkEnd w:id="17"/>
      <w:bookmarkStart w:id="18" w:name="_Toc3077"/>
      <w:bookmarkStart w:id="19" w:name="_Toc31883"/>
      <w:r>
        <w:rPr>
          <w:rFonts w:hint="eastAsia" w:eastAsia="宋体"/>
          <w:color w:val="auto"/>
          <w:u w:val="single"/>
        </w:rPr>
        <w:t>渭南市临渭区中心敬老院</w:t>
      </w:r>
    </w:p>
    <w:p w14:paraId="6AE68C94">
      <w:pPr>
        <w:bidi w:val="0"/>
        <w:outlineLvl w:val="1"/>
        <w:rPr>
          <w:rFonts w:hint="eastAsia"/>
          <w:color w:val="auto"/>
        </w:rPr>
      </w:pPr>
      <w:bookmarkStart w:id="20" w:name="_Toc11722"/>
      <w:r>
        <w:rPr>
          <w:rFonts w:hint="eastAsia"/>
          <w:color w:val="auto"/>
        </w:rPr>
        <w:t>第五条 质量保证</w:t>
      </w:r>
      <w:bookmarkEnd w:id="18"/>
      <w:bookmarkEnd w:id="19"/>
      <w:bookmarkEnd w:id="20"/>
    </w:p>
    <w:p w14:paraId="3E75C222">
      <w:pPr>
        <w:bidi w:val="0"/>
        <w:rPr>
          <w:rFonts w:hint="eastAsia"/>
          <w:color w:val="auto"/>
        </w:rPr>
      </w:pPr>
      <w:r>
        <w:rPr>
          <w:rFonts w:hint="eastAsia"/>
          <w:color w:val="auto"/>
        </w:rPr>
        <w:t>1、供货商提供法定代表人签字后盖公章的售后服务承诺函。乙方承诺的质保期超过招标文件要求的，按其承诺时间质保。质保期起始时间为终验合格之日。</w:t>
      </w:r>
    </w:p>
    <w:p w14:paraId="20197E40">
      <w:pPr>
        <w:bidi w:val="0"/>
        <w:rPr>
          <w:rFonts w:hint="eastAsia"/>
          <w:color w:val="auto"/>
        </w:rPr>
      </w:pPr>
      <w:r>
        <w:rPr>
          <w:rFonts w:hint="eastAsia"/>
          <w:color w:val="auto"/>
        </w:rPr>
        <w:t>2、乙方须提供全新的、未使用过的合格正品货物（含零部件、配件等），完全符合合同规定的质量、规格和性能的要求。</w:t>
      </w:r>
    </w:p>
    <w:p w14:paraId="0D3987DC">
      <w:pPr>
        <w:bidi w:val="0"/>
        <w:rPr>
          <w:rFonts w:hint="eastAsia"/>
          <w:color w:val="auto"/>
        </w:rPr>
      </w:pPr>
      <w:r>
        <w:rPr>
          <w:rFonts w:hint="eastAsia"/>
          <w:color w:val="auto"/>
        </w:rPr>
        <w:t>3、乙方提供的自主创新产品、节能和环保产品必须是列入政府采购清单的产品。</w:t>
      </w:r>
    </w:p>
    <w:p w14:paraId="0DD14C06">
      <w:pPr>
        <w:bidi w:val="0"/>
        <w:rPr>
          <w:rFonts w:hint="eastAsia"/>
          <w:color w:val="auto"/>
        </w:rPr>
      </w:pPr>
      <w:r>
        <w:rPr>
          <w:rFonts w:hint="eastAsia"/>
          <w:color w:val="auto"/>
        </w:rPr>
        <w:t>4、质量标准按照最新颁布的国家标准、行业标准或制造厂家企业标准确定，上述标准不一致的， 以严格标准为准。</w:t>
      </w:r>
    </w:p>
    <w:p w14:paraId="0D973935">
      <w:pPr>
        <w:bidi w:val="0"/>
        <w:rPr>
          <w:rFonts w:hint="eastAsia"/>
          <w:color w:val="auto"/>
        </w:rPr>
      </w:pPr>
      <w:r>
        <w:rPr>
          <w:rFonts w:hint="eastAsia"/>
          <w:color w:val="auto"/>
        </w:rPr>
        <w:t>5、货物制造质量出现问题， 乙方应负责三包（包修、包换、包退），费用由乙方负担， 甲方有权到乙方生产场地检查货物质量和生产进度。</w:t>
      </w:r>
    </w:p>
    <w:p w14:paraId="6CB72BDD">
      <w:pPr>
        <w:bidi w:val="0"/>
        <w:rPr>
          <w:rFonts w:hint="eastAsia"/>
          <w:color w:val="auto"/>
        </w:rPr>
      </w:pPr>
      <w:r>
        <w:rPr>
          <w:rFonts w:hint="eastAsia"/>
          <w:color w:val="auto"/>
        </w:rPr>
        <w:t>6、质保期内乙方如无法达到上述要求， 甲方有权委托其它维修商完成此项工作， 由此产生的一切费用均由乙方负责。</w:t>
      </w:r>
    </w:p>
    <w:p w14:paraId="58B49176">
      <w:pPr>
        <w:bidi w:val="0"/>
        <w:outlineLvl w:val="1"/>
        <w:rPr>
          <w:rFonts w:hint="eastAsia"/>
          <w:color w:val="auto"/>
        </w:rPr>
      </w:pPr>
      <w:bookmarkStart w:id="21" w:name="_Toc19793"/>
      <w:bookmarkStart w:id="22" w:name="_Toc21840"/>
      <w:bookmarkStart w:id="23" w:name="_Toc15758"/>
      <w:r>
        <w:rPr>
          <w:rFonts w:hint="eastAsia"/>
          <w:color w:val="auto"/>
        </w:rPr>
        <w:t>第六条 权利保证</w:t>
      </w:r>
      <w:bookmarkEnd w:id="21"/>
      <w:bookmarkEnd w:id="22"/>
      <w:bookmarkEnd w:id="23"/>
    </w:p>
    <w:p w14:paraId="797C07F3">
      <w:pPr>
        <w:bidi w:val="0"/>
        <w:outlineLvl w:val="2"/>
        <w:rPr>
          <w:rFonts w:hint="eastAsia"/>
          <w:color w:val="auto"/>
        </w:rPr>
      </w:pPr>
      <w:bookmarkStart w:id="24" w:name="_Toc22479"/>
      <w:bookmarkStart w:id="25" w:name="_Toc2580"/>
      <w:r>
        <w:rPr>
          <w:rFonts w:hint="eastAsia"/>
          <w:color w:val="auto"/>
        </w:rPr>
        <w:t>1、乙方保证对其出售的货物享有合法的权利。</w:t>
      </w:r>
      <w:bookmarkEnd w:id="24"/>
      <w:bookmarkEnd w:id="25"/>
    </w:p>
    <w:p w14:paraId="58B64CC6">
      <w:pPr>
        <w:bidi w:val="0"/>
        <w:rPr>
          <w:rFonts w:hint="eastAsia"/>
          <w:color w:val="auto"/>
        </w:rPr>
      </w:pPr>
      <w:r>
        <w:rPr>
          <w:rFonts w:hint="eastAsia"/>
          <w:color w:val="auto"/>
        </w:rPr>
        <w:t>2、乙方保证对其出售的货物上不存在任何未曾向甲方透露的担保物权，如抵押权、质押权、留置权。</w:t>
      </w:r>
    </w:p>
    <w:p w14:paraId="67F66ADF">
      <w:pPr>
        <w:bidi w:val="0"/>
        <w:rPr>
          <w:rFonts w:hint="eastAsia"/>
          <w:color w:val="auto"/>
        </w:rPr>
      </w:pPr>
      <w:r>
        <w:rPr>
          <w:rFonts w:hint="eastAsia"/>
          <w:color w:val="auto"/>
        </w:rPr>
        <w:t>3、乙方保证对其出售的货物或其任何一部分没有侵犯第三方的专利权、版权、商标权或其他权利。</w:t>
      </w:r>
    </w:p>
    <w:p w14:paraId="1208417B">
      <w:pPr>
        <w:bidi w:val="0"/>
        <w:rPr>
          <w:rFonts w:hint="eastAsia"/>
          <w:color w:val="auto"/>
        </w:rPr>
      </w:pPr>
      <w:r>
        <w:rPr>
          <w:rFonts w:hint="eastAsia"/>
          <w:color w:val="auto"/>
        </w:rPr>
        <w:t>4、如甲方在使用该货物构成上述侵权的， 则由乙方承担全部责任。</w:t>
      </w:r>
    </w:p>
    <w:p w14:paraId="743A62BE">
      <w:pPr>
        <w:bidi w:val="0"/>
        <w:outlineLvl w:val="1"/>
        <w:rPr>
          <w:rFonts w:hint="eastAsia"/>
          <w:color w:val="auto"/>
        </w:rPr>
      </w:pPr>
      <w:bookmarkStart w:id="26" w:name="_Toc2318"/>
      <w:bookmarkStart w:id="27" w:name="_Toc17877"/>
      <w:bookmarkStart w:id="28" w:name="_Toc2988"/>
      <w:r>
        <w:rPr>
          <w:rFonts w:hint="eastAsia"/>
          <w:color w:val="auto"/>
        </w:rPr>
        <w:t>第七条 包装要求与运输方式（若有）</w:t>
      </w:r>
      <w:bookmarkEnd w:id="26"/>
      <w:bookmarkEnd w:id="27"/>
      <w:bookmarkEnd w:id="28"/>
    </w:p>
    <w:p w14:paraId="4B22F5CA">
      <w:pPr>
        <w:bidi w:val="0"/>
        <w:rPr>
          <w:rFonts w:hint="eastAsia"/>
          <w:color w:val="auto"/>
        </w:rPr>
      </w:pPr>
      <w:r>
        <w:rPr>
          <w:rFonts w:hint="eastAsia"/>
          <w:color w:val="auto"/>
        </w:rPr>
        <w:t>1、除合同另有规定外， 乙方提供的全部货物均应按标准保护措施进行包装， 该包装应适应于远距离运输、防潮、防震、防锈和防野蛮装卸， 以确保货物安全运抵指定地点。</w:t>
      </w:r>
    </w:p>
    <w:p w14:paraId="55B32B62">
      <w:pPr>
        <w:bidi w:val="0"/>
        <w:rPr>
          <w:rFonts w:hint="eastAsia"/>
          <w:color w:val="auto"/>
        </w:rPr>
      </w:pPr>
      <w:r>
        <w:rPr>
          <w:rFonts w:hint="eastAsia"/>
          <w:color w:val="auto"/>
        </w:rPr>
        <w:t>2、每一包装单元应附详细的装箱单和质量合格证。</w:t>
      </w:r>
    </w:p>
    <w:p w14:paraId="2F37D186">
      <w:pPr>
        <w:bidi w:val="0"/>
        <w:rPr>
          <w:rFonts w:hint="eastAsia"/>
          <w:color w:val="auto"/>
        </w:rPr>
      </w:pPr>
      <w:r>
        <w:rPr>
          <w:rFonts w:hint="eastAsia"/>
          <w:color w:val="auto"/>
        </w:rPr>
        <w:t>3、选择运输风险小、运费低、距离短的运输路线。</w:t>
      </w:r>
    </w:p>
    <w:p w14:paraId="09D494D7">
      <w:pPr>
        <w:bidi w:val="0"/>
        <w:rPr>
          <w:rFonts w:hint="eastAsia"/>
          <w:color w:val="auto"/>
        </w:rPr>
      </w:pPr>
      <w:r>
        <w:rPr>
          <w:rFonts w:hint="eastAsia"/>
          <w:color w:val="auto"/>
        </w:rPr>
        <w:t>4、货物（产品）运输方式：                      。</w:t>
      </w:r>
    </w:p>
    <w:p w14:paraId="6C2756DE">
      <w:pPr>
        <w:bidi w:val="0"/>
        <w:rPr>
          <w:rFonts w:hint="eastAsia"/>
          <w:color w:val="auto"/>
        </w:rPr>
      </w:pPr>
      <w:r>
        <w:rPr>
          <w:rFonts w:hint="eastAsia"/>
          <w:color w:val="auto"/>
        </w:rPr>
        <w:t>5、乙方负责货物（产品）运输， 货物运输的合理损耗及计算方法</w:t>
      </w:r>
      <w:r>
        <w:rPr>
          <w:rFonts w:hint="eastAsia"/>
          <w:color w:val="auto"/>
          <w:u w:val="single"/>
        </w:rPr>
        <w:t xml:space="preserve">                </w:t>
      </w:r>
      <w:r>
        <w:rPr>
          <w:rFonts w:hint="eastAsia"/>
          <w:color w:val="auto"/>
        </w:rPr>
        <w:t>。</w:t>
      </w:r>
    </w:p>
    <w:p w14:paraId="61D05F16">
      <w:pPr>
        <w:bidi w:val="0"/>
        <w:rPr>
          <w:rFonts w:hint="eastAsia"/>
          <w:color w:val="auto"/>
        </w:rPr>
      </w:pPr>
      <w:r>
        <w:rPr>
          <w:rFonts w:hint="eastAsia"/>
          <w:color w:val="auto"/>
        </w:rPr>
        <w:t>6、运杂费一次包死在总价内，包括生产厂到施工现场所需的装卸、运输（含保险费）、现场保管费、二次倒运费、吊装费等费用。</w:t>
      </w:r>
    </w:p>
    <w:p w14:paraId="78E8794B">
      <w:pPr>
        <w:bidi w:val="0"/>
        <w:outlineLvl w:val="1"/>
        <w:rPr>
          <w:rFonts w:hint="eastAsia"/>
          <w:color w:val="auto"/>
        </w:rPr>
      </w:pPr>
      <w:bookmarkStart w:id="29" w:name="_Toc10622"/>
      <w:bookmarkStart w:id="30" w:name="_Toc1708"/>
      <w:bookmarkStart w:id="31" w:name="_Toc1910"/>
      <w:r>
        <w:rPr>
          <w:rFonts w:hint="eastAsia"/>
          <w:color w:val="auto"/>
        </w:rPr>
        <w:t>第八条 货物验收</w:t>
      </w:r>
      <w:bookmarkEnd w:id="29"/>
      <w:bookmarkEnd w:id="30"/>
      <w:bookmarkEnd w:id="31"/>
    </w:p>
    <w:p w14:paraId="0CA181CE">
      <w:pPr>
        <w:bidi w:val="0"/>
        <w:outlineLvl w:val="2"/>
        <w:rPr>
          <w:rFonts w:hint="eastAsia"/>
          <w:color w:val="auto"/>
        </w:rPr>
      </w:pPr>
      <w:bookmarkStart w:id="32" w:name="_Toc26016"/>
      <w:bookmarkStart w:id="33" w:name="_Toc17132"/>
      <w:r>
        <w:rPr>
          <w:rFonts w:hint="eastAsia"/>
          <w:color w:val="auto"/>
        </w:rPr>
        <w:t>1、货物验收由甲方组织， 乙方配合， 并按下列程序进行：</w:t>
      </w:r>
      <w:bookmarkEnd w:id="32"/>
      <w:bookmarkEnd w:id="33"/>
    </w:p>
    <w:p w14:paraId="1CD288AA">
      <w:pPr>
        <w:bidi w:val="0"/>
        <w:rPr>
          <w:rFonts w:hint="eastAsia"/>
          <w:color w:val="auto"/>
        </w:rPr>
      </w:pPr>
      <w:r>
        <w:rPr>
          <w:rFonts w:hint="eastAsia"/>
          <w:color w:val="auto"/>
        </w:rPr>
        <w:t>检测报告（或生产厂家自检 报告）及所提供货物（产品）的合格证、装箱清单、配件、随机工具、用户使用手册（产品使用说明书）、保修卡等资料交付给甲方。</w:t>
      </w:r>
    </w:p>
    <w:p w14:paraId="466E7B24">
      <w:pPr>
        <w:bidi w:val="0"/>
        <w:rPr>
          <w:rFonts w:hint="eastAsia"/>
          <w:color w:val="auto"/>
        </w:rPr>
      </w:pPr>
      <w:r>
        <w:rPr>
          <w:rFonts w:hint="eastAsia"/>
          <w:color w:val="auto"/>
        </w:rPr>
        <w:t>（2）到货验收： 货物到达后， 按合同第一条款的货物清单和装箱单经行逐一核对， 同时检查货物外观， 是否有划痕或破损的， 并做好相应记录。</w:t>
      </w:r>
    </w:p>
    <w:p w14:paraId="1E66BC2C">
      <w:pPr>
        <w:bidi w:val="0"/>
        <w:rPr>
          <w:rFonts w:hint="eastAsia"/>
          <w:color w:val="auto"/>
        </w:rPr>
      </w:pPr>
      <w:r>
        <w:rPr>
          <w:rFonts w:hint="eastAsia"/>
          <w:color w:val="auto"/>
        </w:rPr>
        <w:t>（</w:t>
      </w:r>
      <w:r>
        <w:rPr>
          <w:rFonts w:hint="eastAsia"/>
          <w:color w:val="auto"/>
          <w:lang w:val="en-US" w:eastAsia="zh-CN"/>
        </w:rPr>
        <w:t>3</w:t>
      </w:r>
      <w:r>
        <w:rPr>
          <w:rFonts w:hint="eastAsia"/>
          <w:color w:val="auto"/>
        </w:rPr>
        <w:t>）货物</w:t>
      </w:r>
      <w:r>
        <w:rPr>
          <w:rFonts w:hint="eastAsia"/>
          <w:color w:val="auto"/>
          <w:lang w:val="en-US" w:eastAsia="zh-CN"/>
        </w:rPr>
        <w:t>验收</w:t>
      </w:r>
      <w:r>
        <w:rPr>
          <w:rFonts w:hint="eastAsia"/>
          <w:color w:val="auto"/>
        </w:rPr>
        <w:t>：</w:t>
      </w:r>
      <w:r>
        <w:rPr>
          <w:rFonts w:hint="eastAsia"/>
          <w:color w:val="auto"/>
          <w:lang w:val="en-US" w:eastAsia="zh-CN"/>
        </w:rPr>
        <w:t>安装调试完成后</w:t>
      </w:r>
      <w:r>
        <w:rPr>
          <w:rFonts w:hint="eastAsia"/>
          <w:color w:val="auto"/>
        </w:rPr>
        <w:t>，由用户单位组织相关</w:t>
      </w:r>
      <w:r>
        <w:rPr>
          <w:rFonts w:hint="eastAsia"/>
          <w:color w:val="auto"/>
          <w:lang w:eastAsia="zh-CN"/>
        </w:rPr>
        <w:t>人员</w:t>
      </w:r>
      <w:r>
        <w:rPr>
          <w:rFonts w:hint="eastAsia"/>
          <w:color w:val="auto"/>
        </w:rPr>
        <w:t>等进行终验（最终验收），合格后签发《</w:t>
      </w:r>
      <w:r>
        <w:rPr>
          <w:rFonts w:hint="eastAsia"/>
          <w:color w:val="auto"/>
          <w:lang w:val="en-US" w:eastAsia="zh-CN"/>
        </w:rPr>
        <w:t>验收</w:t>
      </w:r>
      <w:r>
        <w:rPr>
          <w:rFonts w:hint="eastAsia"/>
          <w:color w:val="auto"/>
        </w:rPr>
        <w:t>合格单》。</w:t>
      </w:r>
    </w:p>
    <w:p w14:paraId="2BA64352">
      <w:pPr>
        <w:bidi w:val="0"/>
        <w:rPr>
          <w:rFonts w:hint="eastAsia"/>
          <w:color w:val="auto"/>
        </w:rPr>
      </w:pPr>
      <w:r>
        <w:rPr>
          <w:rFonts w:hint="eastAsia"/>
          <w:color w:val="auto"/>
        </w:rPr>
        <w:t>（5）质量验收合格，双方签署质量验收报告。</w:t>
      </w:r>
    </w:p>
    <w:p w14:paraId="5C39E9C9">
      <w:pPr>
        <w:bidi w:val="0"/>
        <w:outlineLvl w:val="2"/>
        <w:rPr>
          <w:rFonts w:hint="eastAsia"/>
          <w:color w:val="auto"/>
        </w:rPr>
      </w:pPr>
      <w:bookmarkStart w:id="34" w:name="_Toc25900"/>
      <w:bookmarkStart w:id="35" w:name="_Toc11018"/>
      <w:r>
        <w:rPr>
          <w:rFonts w:hint="eastAsia"/>
          <w:color w:val="auto"/>
        </w:rPr>
        <w:t>2、货物验收依据：</w:t>
      </w:r>
      <w:bookmarkEnd w:id="34"/>
      <w:bookmarkEnd w:id="35"/>
    </w:p>
    <w:p w14:paraId="498773F6">
      <w:pPr>
        <w:bidi w:val="0"/>
        <w:rPr>
          <w:rFonts w:hint="eastAsia"/>
          <w:color w:val="auto"/>
        </w:rPr>
      </w:pPr>
      <w:r>
        <w:rPr>
          <w:rFonts w:hint="eastAsia"/>
          <w:color w:val="auto"/>
        </w:rPr>
        <w:t>（1）招标文件；</w:t>
      </w:r>
    </w:p>
    <w:p w14:paraId="4EB24CC1">
      <w:pPr>
        <w:bidi w:val="0"/>
        <w:rPr>
          <w:rFonts w:hint="eastAsia"/>
          <w:color w:val="auto"/>
        </w:rPr>
      </w:pPr>
      <w:r>
        <w:rPr>
          <w:rFonts w:hint="eastAsia"/>
          <w:color w:val="auto"/>
        </w:rPr>
        <w:t>（2） 乙方投标文件；</w:t>
      </w:r>
    </w:p>
    <w:p w14:paraId="3A46E9B8">
      <w:pPr>
        <w:bidi w:val="0"/>
        <w:rPr>
          <w:rFonts w:hint="eastAsia"/>
          <w:color w:val="auto"/>
        </w:rPr>
      </w:pPr>
      <w:r>
        <w:rPr>
          <w:rFonts w:hint="eastAsia"/>
          <w:color w:val="auto"/>
        </w:rPr>
        <w:t>（3）采购合同及合同补充文件；</w:t>
      </w:r>
    </w:p>
    <w:p w14:paraId="183BAADC">
      <w:pPr>
        <w:bidi w:val="0"/>
        <w:rPr>
          <w:rFonts w:hint="eastAsia"/>
          <w:color w:val="auto"/>
        </w:rPr>
      </w:pPr>
      <w:r>
        <w:rPr>
          <w:rFonts w:hint="eastAsia"/>
          <w:color w:val="auto"/>
        </w:rPr>
        <w:t>（4）供货一览表；</w:t>
      </w:r>
    </w:p>
    <w:p w14:paraId="5A97A4BB">
      <w:pPr>
        <w:bidi w:val="0"/>
        <w:rPr>
          <w:rFonts w:hint="eastAsia"/>
          <w:color w:val="auto"/>
        </w:rPr>
      </w:pPr>
      <w:r>
        <w:rPr>
          <w:rFonts w:hint="eastAsia"/>
          <w:color w:val="auto"/>
        </w:rPr>
        <w:t>（5）质检部门抽样检查货物（产品）合格的检测报告。</w:t>
      </w:r>
    </w:p>
    <w:p w14:paraId="5A8D168F">
      <w:pPr>
        <w:bidi w:val="0"/>
        <w:outlineLvl w:val="2"/>
        <w:rPr>
          <w:rFonts w:hint="eastAsia"/>
          <w:color w:val="auto"/>
        </w:rPr>
      </w:pPr>
      <w:bookmarkStart w:id="36" w:name="_Toc14064"/>
      <w:bookmarkStart w:id="37" w:name="_Toc16244"/>
      <w:r>
        <w:rPr>
          <w:rFonts w:hint="eastAsia"/>
          <w:color w:val="auto"/>
        </w:rPr>
        <w:t>3、货物验收时发现问题的处理办法：</w:t>
      </w:r>
      <w:bookmarkEnd w:id="36"/>
      <w:bookmarkEnd w:id="37"/>
    </w:p>
    <w:p w14:paraId="227FA4F6">
      <w:pPr>
        <w:bidi w:val="0"/>
        <w:rPr>
          <w:rFonts w:hint="eastAsia"/>
          <w:color w:val="auto"/>
        </w:rPr>
      </w:pPr>
      <w:r>
        <w:rPr>
          <w:rFonts w:hint="eastAsia"/>
          <w:color w:val="auto"/>
        </w:rPr>
        <w:t>（1） 乙方提供不符合招标文件和本合同规定的货物（产品）， 甲方有权拒绝接受。</w:t>
      </w:r>
    </w:p>
    <w:p w14:paraId="52E7756C">
      <w:pPr>
        <w:bidi w:val="0"/>
        <w:rPr>
          <w:rFonts w:hint="eastAsia"/>
          <w:color w:val="auto"/>
        </w:rPr>
      </w:pPr>
      <w:r>
        <w:rPr>
          <w:rFonts w:hint="eastAsia"/>
          <w:color w:val="auto"/>
        </w:rPr>
        <w:t>（2）如发现所交付的货物有短装、次品、损坏或其它不符合标准及本合同规定之情形者， 甲方有权要求更换货物（产品）， 同时做出详尽的现场记录， 或由甲乙双方签署备忘录，此 现场记录或备忘录可用作补充、缺失和更换损坏部件或更换整个货物（产品）有效证据，由此产生的时间延误与有关费用由乙方承担，验收期限相应顺延。</w:t>
      </w:r>
    </w:p>
    <w:p w14:paraId="49A8936C">
      <w:pPr>
        <w:bidi w:val="0"/>
        <w:rPr>
          <w:rFonts w:hint="eastAsia"/>
          <w:color w:val="auto"/>
        </w:rPr>
      </w:pPr>
      <w:r>
        <w:rPr>
          <w:rFonts w:hint="eastAsia"/>
          <w:color w:val="auto"/>
        </w:rPr>
        <w:t>（3）如货物经乙方</w:t>
      </w:r>
      <w:r>
        <w:rPr>
          <w:rFonts w:hint="eastAsia"/>
          <w:color w:val="auto"/>
          <w:u w:val="single"/>
        </w:rPr>
        <w:t xml:space="preserve">      </w:t>
      </w:r>
      <w:r>
        <w:rPr>
          <w:rFonts w:hint="eastAsia"/>
          <w:color w:val="auto"/>
        </w:rPr>
        <w:t>次维修仍不能达到合同约定的质量标准，甲方有权退货，并视作乙方不能交付货物而须支付违约赔偿金给甲方， 甲方还可依法追究乙方的违约责任。</w:t>
      </w:r>
    </w:p>
    <w:p w14:paraId="1C11BB54">
      <w:pPr>
        <w:bidi w:val="0"/>
        <w:rPr>
          <w:rFonts w:hint="eastAsia"/>
          <w:color w:val="auto"/>
        </w:rPr>
      </w:pPr>
      <w:r>
        <w:rPr>
          <w:rFonts w:hint="eastAsia"/>
          <w:color w:val="auto"/>
        </w:rPr>
        <w:t>（4）货物安装完成后</w:t>
      </w:r>
      <w:r>
        <w:rPr>
          <w:rFonts w:hint="eastAsia"/>
          <w:color w:val="auto"/>
          <w:u w:val="single"/>
        </w:rPr>
        <w:t xml:space="preserve">       </w:t>
      </w:r>
      <w:r>
        <w:rPr>
          <w:rFonts w:hint="eastAsia"/>
          <w:color w:val="auto"/>
        </w:rPr>
        <w:t>日内， 甲方无故不进行验收工作并已使用货物的，视同已安装调试完成并验收合格。</w:t>
      </w:r>
    </w:p>
    <w:p w14:paraId="1F090DA9">
      <w:pPr>
        <w:bidi w:val="0"/>
        <w:rPr>
          <w:rFonts w:hint="eastAsia"/>
          <w:color w:val="auto"/>
        </w:rPr>
      </w:pPr>
      <w:r>
        <w:rPr>
          <w:rFonts w:hint="eastAsia"/>
          <w:color w:val="auto"/>
        </w:rPr>
        <w:t>（5） 乙方不能完整交付货物及本条第一款款规定的单证和工具的， 必须负责补齐， 否则视为未按合同约定交货。</w:t>
      </w:r>
    </w:p>
    <w:p w14:paraId="7E9BFFD7">
      <w:pPr>
        <w:bidi w:val="0"/>
        <w:outlineLvl w:val="1"/>
        <w:rPr>
          <w:rFonts w:hint="eastAsia"/>
          <w:color w:val="auto"/>
        </w:rPr>
      </w:pPr>
      <w:bookmarkStart w:id="38" w:name="_Toc30278"/>
      <w:bookmarkStart w:id="39" w:name="_Toc13824"/>
      <w:bookmarkStart w:id="40" w:name="_Toc28854"/>
      <w:r>
        <w:rPr>
          <w:rFonts w:hint="eastAsia"/>
          <w:color w:val="auto"/>
        </w:rPr>
        <w:t>第九条 技术培训</w:t>
      </w:r>
      <w:bookmarkEnd w:id="38"/>
      <w:bookmarkEnd w:id="39"/>
      <w:bookmarkEnd w:id="40"/>
    </w:p>
    <w:p w14:paraId="7D8E94E5">
      <w:pPr>
        <w:bidi w:val="0"/>
        <w:rPr>
          <w:rFonts w:hint="eastAsia"/>
          <w:color w:val="auto"/>
        </w:rPr>
      </w:pPr>
      <w:r>
        <w:rPr>
          <w:rFonts w:hint="eastAsia"/>
          <w:color w:val="auto"/>
        </w:rPr>
        <w:t>所有设备安装、调试开始前，乙方负责安排甲方维修技术人员进行技术培训；在设备安 装调试期间或以后，乙方必须安排技术人员现场对使用单位的操作、维护技术人员进行操作应用及维护保养等方面更深入的技能培训，使他们具备操作和必要的调整、维护技能。</w:t>
      </w:r>
    </w:p>
    <w:p w14:paraId="071D5EC6">
      <w:pPr>
        <w:bidi w:val="0"/>
        <w:rPr>
          <w:rFonts w:hint="eastAsia"/>
          <w:color w:val="auto"/>
        </w:rPr>
      </w:pPr>
      <w:r>
        <w:rPr>
          <w:rFonts w:hint="eastAsia"/>
          <w:color w:val="auto"/>
        </w:rPr>
        <w:t>1、培训内容：</w:t>
      </w:r>
      <w:r>
        <w:rPr>
          <w:rFonts w:hint="eastAsia"/>
          <w:color w:val="auto"/>
          <w:u w:val="single"/>
        </w:rPr>
        <w:t xml:space="preserve">                        </w:t>
      </w:r>
      <w:r>
        <w:rPr>
          <w:rFonts w:hint="eastAsia"/>
          <w:color w:val="auto"/>
        </w:rPr>
        <w:t xml:space="preserve">  。</w:t>
      </w:r>
    </w:p>
    <w:p w14:paraId="5A9110E8">
      <w:pPr>
        <w:bidi w:val="0"/>
        <w:rPr>
          <w:rFonts w:hint="eastAsia"/>
          <w:color w:val="auto"/>
        </w:rPr>
      </w:pPr>
      <w:r>
        <w:rPr>
          <w:rFonts w:hint="eastAsia"/>
          <w:color w:val="auto"/>
        </w:rPr>
        <w:t>2、培训地点：</w:t>
      </w:r>
      <w:r>
        <w:rPr>
          <w:rFonts w:hint="eastAsia"/>
          <w:color w:val="auto"/>
          <w:u w:val="single"/>
        </w:rPr>
        <w:t xml:space="preserve">                         </w:t>
      </w:r>
      <w:r>
        <w:rPr>
          <w:rFonts w:hint="eastAsia"/>
          <w:color w:val="auto"/>
        </w:rPr>
        <w:t xml:space="preserve">  。</w:t>
      </w:r>
    </w:p>
    <w:p w14:paraId="77ED4BDC">
      <w:pPr>
        <w:bidi w:val="0"/>
        <w:rPr>
          <w:rFonts w:hint="eastAsia"/>
          <w:color w:val="auto"/>
        </w:rPr>
      </w:pPr>
      <w:r>
        <w:rPr>
          <w:rFonts w:hint="eastAsia"/>
          <w:color w:val="auto"/>
        </w:rPr>
        <w:t>3、培训时间：</w:t>
      </w:r>
      <w:r>
        <w:rPr>
          <w:rFonts w:hint="eastAsia"/>
          <w:color w:val="auto"/>
          <w:u w:val="single"/>
        </w:rPr>
        <w:t xml:space="preserve">                           </w:t>
      </w:r>
      <w:r>
        <w:rPr>
          <w:rFonts w:hint="eastAsia"/>
          <w:color w:val="auto"/>
        </w:rPr>
        <w:t>。</w:t>
      </w:r>
    </w:p>
    <w:p w14:paraId="4BAAD0B1">
      <w:pPr>
        <w:bidi w:val="0"/>
        <w:rPr>
          <w:rFonts w:hint="eastAsia"/>
          <w:color w:val="auto"/>
        </w:rPr>
      </w:pPr>
      <w:r>
        <w:rPr>
          <w:rFonts w:hint="eastAsia"/>
          <w:color w:val="auto"/>
        </w:rPr>
        <w:t>4、培训人数：</w:t>
      </w:r>
      <w:r>
        <w:rPr>
          <w:rFonts w:hint="eastAsia"/>
          <w:color w:val="auto"/>
          <w:u w:val="single"/>
        </w:rPr>
        <w:t xml:space="preserve">                          </w:t>
      </w:r>
      <w:r>
        <w:rPr>
          <w:rFonts w:hint="eastAsia"/>
          <w:color w:val="auto"/>
        </w:rPr>
        <w:t xml:space="preserve"> 。</w:t>
      </w:r>
    </w:p>
    <w:p w14:paraId="0578C53C">
      <w:pPr>
        <w:bidi w:val="0"/>
        <w:rPr>
          <w:rFonts w:hint="eastAsia"/>
          <w:color w:val="auto"/>
        </w:rPr>
      </w:pPr>
      <w:r>
        <w:rPr>
          <w:rFonts w:hint="eastAsia"/>
          <w:color w:val="auto"/>
        </w:rPr>
        <w:t>5、培训费用： 受训人员的食宿费、资料费、培训场地费、耗材（包括水电费等） 费等已包含在合同总价中， 甲方不再另行支付。</w:t>
      </w:r>
    </w:p>
    <w:p w14:paraId="478E5692">
      <w:pPr>
        <w:bidi w:val="0"/>
        <w:outlineLvl w:val="1"/>
        <w:rPr>
          <w:rFonts w:hint="eastAsia"/>
          <w:color w:val="auto"/>
        </w:rPr>
      </w:pPr>
      <w:bookmarkStart w:id="41" w:name="_Toc21263"/>
      <w:bookmarkStart w:id="42" w:name="_Toc8800"/>
      <w:bookmarkStart w:id="43" w:name="_Toc27382"/>
      <w:r>
        <w:rPr>
          <w:rFonts w:hint="eastAsia"/>
          <w:color w:val="auto"/>
        </w:rPr>
        <w:t>第十条 售后服务</w:t>
      </w:r>
      <w:bookmarkEnd w:id="41"/>
      <w:bookmarkEnd w:id="42"/>
      <w:bookmarkEnd w:id="43"/>
    </w:p>
    <w:p w14:paraId="22E1510A">
      <w:pPr>
        <w:bidi w:val="0"/>
        <w:rPr>
          <w:rFonts w:hint="eastAsia"/>
          <w:color w:val="auto"/>
        </w:rPr>
      </w:pPr>
      <w:r>
        <w:rPr>
          <w:rFonts w:hint="eastAsia"/>
          <w:color w:val="auto"/>
        </w:rPr>
        <w:t>1、乙方须指派专人姓名：</w:t>
      </w:r>
      <w:r>
        <w:rPr>
          <w:rFonts w:hint="eastAsia"/>
          <w:color w:val="auto"/>
          <w:u w:val="single"/>
        </w:rPr>
        <w:t xml:space="preserve">         </w:t>
      </w:r>
      <w:r>
        <w:rPr>
          <w:rFonts w:hint="eastAsia"/>
          <w:color w:val="auto"/>
        </w:rPr>
        <w:t>电话：</w:t>
      </w:r>
      <w:r>
        <w:rPr>
          <w:rFonts w:hint="eastAsia"/>
          <w:color w:val="auto"/>
          <w:u w:val="single"/>
        </w:rPr>
        <w:t xml:space="preserve">        </w:t>
      </w:r>
      <w:r>
        <w:rPr>
          <w:rFonts w:hint="eastAsia"/>
          <w:color w:val="auto"/>
        </w:rPr>
        <w:t>负责与使用单位联系售后服务事宜；</w:t>
      </w:r>
    </w:p>
    <w:p w14:paraId="01127462">
      <w:pPr>
        <w:bidi w:val="0"/>
        <w:outlineLvl w:val="2"/>
        <w:rPr>
          <w:rFonts w:hint="eastAsia"/>
          <w:color w:val="auto"/>
        </w:rPr>
      </w:pPr>
      <w:bookmarkStart w:id="44" w:name="_Toc26199"/>
      <w:bookmarkStart w:id="45" w:name="_Toc9815"/>
      <w:r>
        <w:rPr>
          <w:rFonts w:hint="eastAsia"/>
          <w:color w:val="auto"/>
        </w:rPr>
        <w:t>2、货物（产品） 的现场安装、调试和启动监督；</w:t>
      </w:r>
      <w:bookmarkEnd w:id="44"/>
      <w:bookmarkEnd w:id="45"/>
    </w:p>
    <w:p w14:paraId="46A5DB13">
      <w:pPr>
        <w:bidi w:val="0"/>
        <w:rPr>
          <w:rFonts w:hint="eastAsia"/>
          <w:color w:val="auto"/>
        </w:rPr>
      </w:pPr>
      <w:r>
        <w:rPr>
          <w:rFonts w:hint="eastAsia"/>
          <w:color w:val="auto"/>
        </w:rPr>
        <w:t>3、就货物的安装、启动、运行及维护等对使用单位的相关人员进行免费培训。主要培训内容为货物的日常使用操作、保养与管理、常见故障的排除、紧急情况的处理等，如使用单位未使用过同类型货物，乙方还需就货物的功能对使用单位相关人员进行相应的技术培训，培训地点主要在货物安装现场或由使用单位安排；</w:t>
      </w:r>
    </w:p>
    <w:p w14:paraId="4DCBF70F">
      <w:pPr>
        <w:bidi w:val="0"/>
        <w:rPr>
          <w:rFonts w:hint="eastAsia"/>
          <w:color w:val="auto"/>
        </w:rPr>
      </w:pPr>
      <w:r>
        <w:rPr>
          <w:rFonts w:hint="eastAsia"/>
          <w:color w:val="auto"/>
        </w:rPr>
        <w:t>4、质保期自甲方在货物质量验收单（终验）上签字之日起计算，质保费用计入总价；</w:t>
      </w:r>
    </w:p>
    <w:p w14:paraId="0C23B4A8">
      <w:pPr>
        <w:bidi w:val="0"/>
        <w:rPr>
          <w:rFonts w:hint="eastAsia"/>
          <w:color w:val="auto"/>
        </w:rPr>
      </w:pPr>
      <w:r>
        <w:rPr>
          <w:rFonts w:hint="eastAsia"/>
          <w:color w:val="auto"/>
        </w:rPr>
        <w:t>5、质保期内，乙方负责对其提供的货物整机进行维修和系统维护，不再收取任何费用，但不可抗力（如火灾、雷击等）造成的故障除外；</w:t>
      </w:r>
    </w:p>
    <w:p w14:paraId="18C43300">
      <w:pPr>
        <w:bidi w:val="0"/>
        <w:rPr>
          <w:rFonts w:hint="eastAsia"/>
          <w:color w:val="auto"/>
        </w:rPr>
      </w:pPr>
      <w:r>
        <w:rPr>
          <w:rFonts w:hint="eastAsia"/>
          <w:color w:val="auto"/>
        </w:rPr>
        <w:t>6、货物故障报修的响应时间为：工作期间（星期一至星期五 8：00-18：00）为 6  时；非工作期间为12小时；</w:t>
      </w:r>
    </w:p>
    <w:p w14:paraId="6286D0DE">
      <w:pPr>
        <w:bidi w:val="0"/>
        <w:rPr>
          <w:rFonts w:hint="eastAsia"/>
          <w:color w:val="auto"/>
        </w:rPr>
      </w:pPr>
      <w:r>
        <w:rPr>
          <w:rFonts w:hint="eastAsia"/>
          <w:color w:val="auto"/>
        </w:rPr>
        <w:t>7、乙方在接到甲方通知后须 24 小时内完成维修或更换</w:t>
      </w:r>
      <w:r>
        <w:rPr>
          <w:rFonts w:hint="eastAsia"/>
          <w:color w:val="auto"/>
          <w:lang w:eastAsia="zh-CN"/>
        </w:rPr>
        <w:t>，</w:t>
      </w:r>
      <w:r>
        <w:rPr>
          <w:rFonts w:hint="eastAsia"/>
          <w:color w:val="auto"/>
        </w:rPr>
        <w:t>并承担修理或更换的费用；若需将产品送回生产厂家，乙方应提供备用机、承担维修设备所需的往返费用。</w:t>
      </w:r>
    </w:p>
    <w:p w14:paraId="7B1D2907">
      <w:pPr>
        <w:bidi w:val="0"/>
        <w:rPr>
          <w:rFonts w:hint="eastAsia"/>
          <w:color w:val="auto"/>
        </w:rPr>
      </w:pPr>
      <w:r>
        <w:rPr>
          <w:rFonts w:hint="eastAsia"/>
          <w:color w:val="auto"/>
        </w:rPr>
        <w:t>8、如果乙方在收到通知后 3 天内没有弥补缺陷，使用单位可采取必要的补救措施，但 其风险和费用将由乙方承担，使用单位根据合同规定对乙方行使的其它权力不受影响。使用单位亦可从合同价款中扣回索赔金额。</w:t>
      </w:r>
    </w:p>
    <w:p w14:paraId="73C7A936">
      <w:pPr>
        <w:bidi w:val="0"/>
        <w:rPr>
          <w:rFonts w:hint="eastAsia"/>
          <w:color w:val="auto"/>
        </w:rPr>
      </w:pPr>
      <w:r>
        <w:rPr>
          <w:rFonts w:hint="eastAsia"/>
          <w:color w:val="auto"/>
        </w:rPr>
        <w:t>9、所有货物售后服务方式均为乙方上门服务， 即由乙方派专员到货物使用现场维修，由此产生的一切费用均由乙方承担；</w:t>
      </w:r>
    </w:p>
    <w:p w14:paraId="0A628DDB">
      <w:pPr>
        <w:bidi w:val="0"/>
        <w:outlineLvl w:val="2"/>
        <w:rPr>
          <w:rFonts w:hint="eastAsia"/>
          <w:color w:val="auto"/>
        </w:rPr>
      </w:pPr>
      <w:bookmarkStart w:id="46" w:name="_Toc26490"/>
      <w:bookmarkStart w:id="47" w:name="_Toc21339"/>
      <w:r>
        <w:rPr>
          <w:rFonts w:hint="eastAsia"/>
          <w:color w:val="auto"/>
        </w:rPr>
        <w:t>10、质保期结束后的货物维修、维护只收取其成本费用。</w:t>
      </w:r>
      <w:bookmarkEnd w:id="46"/>
      <w:bookmarkEnd w:id="47"/>
    </w:p>
    <w:p w14:paraId="239BD142">
      <w:pPr>
        <w:bidi w:val="0"/>
        <w:outlineLvl w:val="1"/>
        <w:rPr>
          <w:rFonts w:hint="eastAsia"/>
          <w:color w:val="auto"/>
        </w:rPr>
      </w:pPr>
      <w:bookmarkStart w:id="48" w:name="_Toc5934"/>
      <w:bookmarkStart w:id="49" w:name="_Toc9479"/>
      <w:bookmarkStart w:id="50" w:name="_Toc13649"/>
      <w:r>
        <w:rPr>
          <w:rFonts w:hint="eastAsia"/>
          <w:color w:val="auto"/>
        </w:rPr>
        <w:t>第十一条 履约保证金</w:t>
      </w:r>
      <w:bookmarkEnd w:id="48"/>
      <w:bookmarkEnd w:id="49"/>
      <w:bookmarkEnd w:id="50"/>
    </w:p>
    <w:p w14:paraId="150196D6">
      <w:pPr>
        <w:bidi w:val="0"/>
        <w:rPr>
          <w:rFonts w:hint="eastAsia"/>
          <w:color w:val="auto"/>
        </w:rPr>
      </w:pPr>
      <w:r>
        <w:rPr>
          <w:rFonts w:hint="eastAsia"/>
          <w:color w:val="auto"/>
        </w:rPr>
        <w:t>1、在合同签订前， 乙方须向使用单位提交履约保证金人民币大写</w:t>
      </w:r>
      <w:r>
        <w:rPr>
          <w:rFonts w:hint="eastAsia"/>
          <w:color w:val="auto"/>
          <w:u w:val="single"/>
        </w:rPr>
        <w:t xml:space="preserve">       </w:t>
      </w:r>
      <w:r>
        <w:rPr>
          <w:rFonts w:hint="eastAsia"/>
          <w:color w:val="auto"/>
          <w:u w:val="single"/>
          <w:lang w:val="en-US" w:eastAsia="zh-CN"/>
        </w:rPr>
        <w:t>/</w:t>
      </w:r>
      <w:r>
        <w:rPr>
          <w:rFonts w:hint="eastAsia"/>
          <w:color w:val="auto"/>
          <w:u w:val="single"/>
        </w:rPr>
        <w:t xml:space="preserve">      </w:t>
      </w:r>
      <w:r>
        <w:rPr>
          <w:rFonts w:hint="eastAsia"/>
          <w:color w:val="auto"/>
        </w:rPr>
        <w:t>元， RMB￥</w:t>
      </w:r>
      <w:r>
        <w:rPr>
          <w:rFonts w:hint="eastAsia"/>
          <w:color w:val="auto"/>
          <w:u w:val="single"/>
        </w:rPr>
        <w:t xml:space="preserve">     </w:t>
      </w:r>
      <w:r>
        <w:rPr>
          <w:rFonts w:hint="eastAsia"/>
          <w:color w:val="auto"/>
          <w:u w:val="single"/>
          <w:lang w:val="en-US" w:eastAsia="zh-CN"/>
        </w:rPr>
        <w:t>/</w:t>
      </w:r>
      <w:r>
        <w:rPr>
          <w:rFonts w:hint="eastAsia"/>
          <w:color w:val="auto"/>
          <w:u w:val="single"/>
        </w:rPr>
        <w:t xml:space="preserve">    </w:t>
      </w:r>
      <w:r>
        <w:rPr>
          <w:rFonts w:hint="eastAsia"/>
          <w:color w:val="auto"/>
        </w:rPr>
        <w:t xml:space="preserve"> 元。</w:t>
      </w:r>
    </w:p>
    <w:p w14:paraId="798AB965">
      <w:pPr>
        <w:bidi w:val="0"/>
        <w:rPr>
          <w:rFonts w:hint="eastAsia"/>
          <w:color w:val="auto"/>
        </w:rPr>
      </w:pPr>
      <w:r>
        <w:rPr>
          <w:rFonts w:hint="eastAsia"/>
          <w:color w:val="auto"/>
        </w:rPr>
        <w:t>2、履约保证金用于补偿甲方因乙方不能完成其合同义务而蒙受的损失。</w:t>
      </w:r>
    </w:p>
    <w:p w14:paraId="29581764">
      <w:pPr>
        <w:bidi w:val="0"/>
        <w:rPr>
          <w:rFonts w:hint="eastAsia"/>
          <w:color w:val="auto"/>
        </w:rPr>
      </w:pPr>
      <w:r>
        <w:rPr>
          <w:rFonts w:hint="eastAsia"/>
          <w:color w:val="auto"/>
        </w:rPr>
        <w:t>3、若乙方不能按本须知规定交纳履约保证金， 甲方将有充分理由拒绝签订合同， 并没收其投标保证金，由此给甲方造成的损失超过投标担保数额的，还应当对超过部分予以赔偿。</w:t>
      </w:r>
    </w:p>
    <w:p w14:paraId="7269C1AC">
      <w:pPr>
        <w:bidi w:val="0"/>
        <w:rPr>
          <w:rFonts w:hint="eastAsia"/>
          <w:color w:val="auto"/>
        </w:rPr>
      </w:pPr>
      <w:r>
        <w:rPr>
          <w:rFonts w:hint="eastAsia"/>
          <w:color w:val="auto"/>
        </w:rPr>
        <w:t>4、若乙方未能履行合同规定的义务， 甲方有权没收履约保证金取得补偿， 因此给甲方造成的损失超过投标担保数额的，还应当对超过部分予以赔偿。</w:t>
      </w:r>
    </w:p>
    <w:p w14:paraId="540683AC">
      <w:pPr>
        <w:bidi w:val="0"/>
        <w:rPr>
          <w:rFonts w:hint="eastAsia"/>
          <w:color w:val="auto"/>
        </w:rPr>
      </w:pPr>
      <w:r>
        <w:rPr>
          <w:rFonts w:hint="eastAsia"/>
          <w:color w:val="auto"/>
        </w:rPr>
        <w:t>5、乙方履约担保有效期应截止为本项目合同终止之日， 甲方应当在乙方履约担保有效 期截止后，甲方财务部门接到甲方确认本合同货物质量与服务等约定事项已经履行完毕的正式书面文件后的日内， 向乙方退还履约保证金。</w:t>
      </w:r>
    </w:p>
    <w:p w14:paraId="3B15F6D3">
      <w:pPr>
        <w:bidi w:val="0"/>
        <w:outlineLvl w:val="1"/>
        <w:rPr>
          <w:rFonts w:hint="eastAsia"/>
          <w:color w:val="auto"/>
        </w:rPr>
      </w:pPr>
      <w:bookmarkStart w:id="51" w:name="_Toc31776"/>
      <w:bookmarkStart w:id="52" w:name="_Toc841"/>
      <w:bookmarkStart w:id="53" w:name="_Toc4476"/>
      <w:r>
        <w:rPr>
          <w:rFonts w:hint="eastAsia"/>
          <w:color w:val="auto"/>
        </w:rPr>
        <w:t>第十二条 违约责任</w:t>
      </w:r>
      <w:bookmarkEnd w:id="51"/>
      <w:bookmarkEnd w:id="52"/>
      <w:bookmarkEnd w:id="53"/>
    </w:p>
    <w:p w14:paraId="0ACAB4EA">
      <w:pPr>
        <w:bidi w:val="0"/>
        <w:outlineLvl w:val="2"/>
        <w:rPr>
          <w:rFonts w:hint="eastAsia"/>
          <w:color w:val="auto"/>
        </w:rPr>
      </w:pPr>
      <w:bookmarkStart w:id="54" w:name="_Toc16280"/>
      <w:bookmarkStart w:id="55" w:name="_Toc5727"/>
      <w:r>
        <w:rPr>
          <w:rFonts w:hint="eastAsia"/>
          <w:color w:val="auto"/>
        </w:rPr>
        <w:t>1、甲方违约责任</w:t>
      </w:r>
      <w:bookmarkEnd w:id="54"/>
      <w:bookmarkEnd w:id="55"/>
    </w:p>
    <w:p w14:paraId="7B434813">
      <w:pPr>
        <w:bidi w:val="0"/>
        <w:rPr>
          <w:rFonts w:hint="eastAsia"/>
          <w:color w:val="auto"/>
        </w:rPr>
      </w:pPr>
      <w:r>
        <w:rPr>
          <w:rFonts w:hint="eastAsia"/>
          <w:color w:val="auto"/>
        </w:rPr>
        <w:t>（1） 甲方无正当理由拒收货物的， 甲方应偿付合同总价</w:t>
      </w:r>
      <w:r>
        <w:rPr>
          <w:rFonts w:hint="eastAsia"/>
          <w:color w:val="auto"/>
          <w:u w:val="single"/>
        </w:rPr>
        <w:t xml:space="preserve">    </w:t>
      </w:r>
      <w:r>
        <w:rPr>
          <w:rFonts w:hint="eastAsia"/>
          <w:color w:val="auto"/>
        </w:rPr>
        <w:t xml:space="preserve"> %的违约金；</w:t>
      </w:r>
    </w:p>
    <w:p w14:paraId="640C03DA">
      <w:pPr>
        <w:bidi w:val="0"/>
        <w:rPr>
          <w:rFonts w:hint="eastAsia"/>
          <w:color w:val="auto"/>
        </w:rPr>
      </w:pPr>
      <w:r>
        <w:rPr>
          <w:rFonts w:hint="eastAsia"/>
          <w:color w:val="auto"/>
        </w:rPr>
        <w:t>（2）甲方逾期支付货款的，除应及时付足货款外，应向乙方每天支付欠款总额</w:t>
      </w:r>
      <w:r>
        <w:rPr>
          <w:rFonts w:hint="eastAsia"/>
          <w:color w:val="auto"/>
          <w:u w:val="single"/>
        </w:rPr>
        <w:t xml:space="preserve">     </w:t>
      </w:r>
      <w:r>
        <w:rPr>
          <w:rFonts w:hint="eastAsia"/>
          <w:color w:val="auto"/>
        </w:rPr>
        <w:t xml:space="preserve"> ‰的</w:t>
      </w:r>
    </w:p>
    <w:p w14:paraId="4E5C8A9A">
      <w:pPr>
        <w:bidi w:val="0"/>
        <w:rPr>
          <w:rFonts w:hint="eastAsia"/>
          <w:color w:val="auto"/>
        </w:rPr>
      </w:pPr>
      <w:r>
        <w:rPr>
          <w:rFonts w:hint="eastAsia"/>
          <w:color w:val="auto"/>
        </w:rPr>
        <w:t>滞纳金； 但累计滞纳金总额不超过欠款总额的</w:t>
      </w:r>
      <w:r>
        <w:rPr>
          <w:rFonts w:hint="eastAsia"/>
          <w:color w:val="auto"/>
          <w:u w:val="single"/>
        </w:rPr>
        <w:t xml:space="preserve">  </w:t>
      </w:r>
      <w:r>
        <w:rPr>
          <w:rFonts w:hint="eastAsia"/>
          <w:color w:val="auto"/>
          <w:u w:val="single"/>
          <w:lang w:val="en-US" w:eastAsia="zh-CN"/>
        </w:rPr>
        <w:t xml:space="preserve">  </w:t>
      </w:r>
      <w:r>
        <w:rPr>
          <w:rFonts w:hint="eastAsia"/>
          <w:color w:val="auto"/>
        </w:rPr>
        <w:t xml:space="preserve">  %。</w:t>
      </w:r>
    </w:p>
    <w:p w14:paraId="730C65A8">
      <w:pPr>
        <w:bidi w:val="0"/>
        <w:outlineLvl w:val="2"/>
        <w:rPr>
          <w:rFonts w:hint="eastAsia"/>
          <w:color w:val="auto"/>
        </w:rPr>
      </w:pPr>
      <w:bookmarkStart w:id="56" w:name="_Toc29277"/>
      <w:bookmarkStart w:id="57" w:name="_Toc7285"/>
      <w:r>
        <w:rPr>
          <w:rFonts w:hint="eastAsia"/>
          <w:color w:val="auto"/>
        </w:rPr>
        <w:t>2、乙方违约责任</w:t>
      </w:r>
      <w:bookmarkEnd w:id="56"/>
      <w:bookmarkEnd w:id="57"/>
    </w:p>
    <w:p w14:paraId="3EED7216">
      <w:pPr>
        <w:bidi w:val="0"/>
        <w:rPr>
          <w:rFonts w:hint="eastAsia"/>
          <w:color w:val="auto"/>
        </w:rPr>
      </w:pPr>
      <w:r>
        <w:rPr>
          <w:rFonts w:hint="eastAsia"/>
          <w:color w:val="auto"/>
        </w:rPr>
        <w:t>（1）如乙方不能交付货物， 甲方有权扣留全部履约保证金； 同时乙方应向甲方支付合同总价</w:t>
      </w:r>
      <w:r>
        <w:rPr>
          <w:rFonts w:hint="eastAsia"/>
          <w:color w:val="auto"/>
          <w:u w:val="single"/>
        </w:rPr>
        <w:t xml:space="preserve">   </w:t>
      </w:r>
      <w:r>
        <w:rPr>
          <w:rFonts w:hint="eastAsia"/>
          <w:color w:val="auto"/>
        </w:rPr>
        <w:t>％的违约金。</w:t>
      </w:r>
    </w:p>
    <w:p w14:paraId="6A9E5441">
      <w:pPr>
        <w:bidi w:val="0"/>
        <w:rPr>
          <w:rFonts w:hint="eastAsia"/>
          <w:color w:val="auto"/>
        </w:rPr>
      </w:pPr>
      <w:r>
        <w:rPr>
          <w:rFonts w:hint="eastAsia"/>
          <w:color w:val="auto"/>
        </w:rPr>
        <w:t>（2）乙方逾期交付货物的，每逾期 1 天，乙方向甲方偿付逾期交货部分货款总额的</w:t>
      </w:r>
      <w:r>
        <w:rPr>
          <w:rFonts w:hint="eastAsia"/>
          <w:color w:val="auto"/>
          <w:u w:val="single"/>
        </w:rPr>
        <w:t xml:space="preserve">      </w:t>
      </w:r>
      <w:r>
        <w:rPr>
          <w:rFonts w:hint="eastAsia"/>
          <w:color w:val="auto"/>
        </w:rPr>
        <w:t xml:space="preserve"> ‰ 的滞纳金。如乙方逾期交货达</w:t>
      </w:r>
      <w:r>
        <w:rPr>
          <w:rFonts w:hint="eastAsia"/>
          <w:color w:val="auto"/>
          <w:u w:val="single"/>
        </w:rPr>
        <w:t xml:space="preserve">      </w:t>
      </w:r>
      <w:r>
        <w:rPr>
          <w:rFonts w:hint="eastAsia"/>
          <w:color w:val="auto"/>
        </w:rPr>
        <w:t>天， 甲方有权解除合同，解除合同的通知自到达乙方时生效。</w:t>
      </w:r>
    </w:p>
    <w:p w14:paraId="6F4719D0">
      <w:pPr>
        <w:bidi w:val="0"/>
        <w:rPr>
          <w:rFonts w:hint="eastAsia"/>
          <w:color w:val="auto"/>
        </w:rPr>
      </w:pPr>
      <w:r>
        <w:rPr>
          <w:rFonts w:hint="eastAsia"/>
          <w:color w:val="auto"/>
        </w:rPr>
        <w:t>（3） 乙方所交付的货物品种、型号、规格不符合合同规定的， 甲方有权拒收。甲方拒收的， 乙方应向甲方支付货款总额</w:t>
      </w:r>
      <w:r>
        <w:rPr>
          <w:rFonts w:hint="eastAsia"/>
          <w:color w:val="auto"/>
          <w:u w:val="single"/>
        </w:rPr>
        <w:t xml:space="preserve">   </w:t>
      </w:r>
      <w:r>
        <w:rPr>
          <w:rFonts w:hint="eastAsia"/>
          <w:color w:val="auto"/>
        </w:rPr>
        <w:t xml:space="preserve">  %的违约金。</w:t>
      </w:r>
    </w:p>
    <w:p w14:paraId="17C410C5">
      <w:pPr>
        <w:bidi w:val="0"/>
        <w:rPr>
          <w:rFonts w:hint="eastAsia"/>
          <w:color w:val="auto"/>
        </w:rPr>
      </w:pPr>
      <w:r>
        <w:rPr>
          <w:rFonts w:hint="eastAsia"/>
          <w:color w:val="auto"/>
        </w:rPr>
        <w:t>（4） 乙方货物经甲方送交具有法定资格条件的质量技术监督机构检测后， 如检测结果 认定货物质量不符合本合同规定标准的， 则视为乙方没有按时交货而违约， 乙方须在</w:t>
      </w:r>
      <w:r>
        <w:rPr>
          <w:rFonts w:hint="eastAsia"/>
          <w:color w:val="auto"/>
          <w:u w:val="single"/>
        </w:rPr>
        <w:t xml:space="preserve">       </w:t>
      </w:r>
      <w:r>
        <w:rPr>
          <w:rFonts w:hint="eastAsia"/>
          <w:color w:val="auto"/>
        </w:rPr>
        <w:t>天 内无条件更换合格的货物，如逾期不能更换合格的货物，甲方有权终止本合同，乙方应另向甲方支付货款总额的</w:t>
      </w:r>
      <w:r>
        <w:rPr>
          <w:rFonts w:hint="eastAsia"/>
          <w:color w:val="auto"/>
          <w:u w:val="single"/>
        </w:rPr>
        <w:t xml:space="preserve">    </w:t>
      </w:r>
      <w:r>
        <w:rPr>
          <w:rFonts w:hint="eastAsia"/>
          <w:color w:val="auto"/>
        </w:rPr>
        <w:t xml:space="preserve"> %的违约金。</w:t>
      </w:r>
    </w:p>
    <w:p w14:paraId="4E0CBC91">
      <w:pPr>
        <w:bidi w:val="0"/>
        <w:rPr>
          <w:rFonts w:hint="eastAsia"/>
          <w:color w:val="auto"/>
        </w:rPr>
      </w:pPr>
      <w:r>
        <w:rPr>
          <w:rFonts w:hint="eastAsia"/>
          <w:color w:val="auto"/>
        </w:rPr>
        <w:t>（5）在乙方承诺的或国家规定的质量保证期内（取两者中最长的期限），如经乙方两次  维修或更换， 货物仍不能达到合同约定的质量标准， 甲方有权退货， 乙方应退回全部货款，并按第 3 款处理</w:t>
      </w:r>
      <w:r>
        <w:rPr>
          <w:rFonts w:hint="eastAsia"/>
          <w:color w:val="auto"/>
          <w:lang w:eastAsia="zh-CN"/>
        </w:rPr>
        <w:t>，</w:t>
      </w:r>
      <w:r>
        <w:rPr>
          <w:rFonts w:hint="eastAsia"/>
          <w:color w:val="auto"/>
        </w:rPr>
        <w:t>同时， 乙方还须赔偿甲方因此遭受的损失。</w:t>
      </w:r>
    </w:p>
    <w:p w14:paraId="794EA521">
      <w:pPr>
        <w:bidi w:val="0"/>
        <w:rPr>
          <w:rFonts w:hint="eastAsia"/>
          <w:color w:val="auto"/>
        </w:rPr>
      </w:pPr>
      <w:r>
        <w:rPr>
          <w:rFonts w:hint="eastAsia"/>
          <w:color w:val="auto"/>
        </w:rPr>
        <w:t>（6） 乙方未按本合同第十条的规定向甲方交付履约保证金的，应按应交付履约保证金的</w:t>
      </w:r>
      <w:r>
        <w:rPr>
          <w:rFonts w:hint="eastAsia"/>
          <w:color w:val="auto"/>
          <w:u w:val="single"/>
        </w:rPr>
        <w:t xml:space="preserve">   </w:t>
      </w:r>
      <w:r>
        <w:rPr>
          <w:rFonts w:hint="eastAsia"/>
          <w:color w:val="auto"/>
        </w:rPr>
        <w:t>%向甲方支付违约金， 该违约金的支付不影响乙方应承担的其他违约责任。</w:t>
      </w:r>
    </w:p>
    <w:p w14:paraId="640662A9">
      <w:pPr>
        <w:bidi w:val="0"/>
        <w:rPr>
          <w:rFonts w:hint="eastAsia"/>
          <w:color w:val="auto"/>
        </w:rPr>
      </w:pPr>
      <w:r>
        <w:rPr>
          <w:rFonts w:hint="eastAsia"/>
          <w:color w:val="auto"/>
        </w:rPr>
        <w:t>（7）乙方未按本合同的规定和“服务承诺”提供伴随服务/售后服务的，应按合同总价款的</w:t>
      </w:r>
      <w:r>
        <w:rPr>
          <w:rFonts w:hint="eastAsia"/>
          <w:color w:val="auto"/>
          <w:u w:val="single"/>
        </w:rPr>
        <w:t xml:space="preserve">   </w:t>
      </w:r>
      <w:r>
        <w:rPr>
          <w:rFonts w:hint="eastAsia"/>
          <w:color w:val="auto"/>
        </w:rPr>
        <w:t>%向甲方承担违约责任。</w:t>
      </w:r>
    </w:p>
    <w:p w14:paraId="490576AF">
      <w:pPr>
        <w:bidi w:val="0"/>
        <w:rPr>
          <w:rFonts w:hint="eastAsia"/>
          <w:color w:val="auto"/>
        </w:rPr>
      </w:pPr>
      <w:r>
        <w:rPr>
          <w:rFonts w:hint="eastAsia"/>
          <w:color w:val="auto"/>
        </w:rPr>
        <w:t>（8）乙方在承担上述 1-7 款一项或多项违约责任后，仍应继续履行合同规定的义务（甲 方解除合同的除外）。甲方未能及时追究乙方的任何一项违约责任并不表明甲方放弃追究乙方该项或其他违约责任。</w:t>
      </w:r>
    </w:p>
    <w:p w14:paraId="2E783DD2">
      <w:pPr>
        <w:bidi w:val="0"/>
        <w:rPr>
          <w:rFonts w:hint="eastAsia"/>
          <w:color w:val="auto"/>
        </w:rPr>
      </w:pPr>
      <w:r>
        <w:rPr>
          <w:rFonts w:hint="eastAsia"/>
          <w:color w:val="auto"/>
        </w:rPr>
        <w:t>（9）乙方偿付的违约金不足以弥补甲方损失的，还应按甲方损失尚未弥补的部分，支付赔偿金给甲方。</w:t>
      </w:r>
    </w:p>
    <w:p w14:paraId="2AF32BCE">
      <w:pPr>
        <w:bidi w:val="0"/>
        <w:outlineLvl w:val="1"/>
        <w:rPr>
          <w:rFonts w:hint="eastAsia"/>
          <w:color w:val="auto"/>
        </w:rPr>
      </w:pPr>
      <w:bookmarkStart w:id="58" w:name="_Toc21487"/>
      <w:bookmarkStart w:id="59" w:name="_Toc14119"/>
      <w:bookmarkStart w:id="60" w:name="_Toc12638"/>
      <w:r>
        <w:rPr>
          <w:rFonts w:hint="eastAsia"/>
          <w:color w:val="auto"/>
        </w:rPr>
        <w:t>第十三条 合同的变更和终止</w:t>
      </w:r>
      <w:bookmarkEnd w:id="58"/>
      <w:bookmarkEnd w:id="59"/>
      <w:bookmarkEnd w:id="60"/>
    </w:p>
    <w:p w14:paraId="332EC77D">
      <w:pPr>
        <w:bidi w:val="0"/>
        <w:rPr>
          <w:rFonts w:hint="eastAsia"/>
          <w:color w:val="auto"/>
        </w:rPr>
      </w:pPr>
      <w:r>
        <w:rPr>
          <w:rFonts w:hint="eastAsia"/>
          <w:color w:val="auto"/>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3F389440">
      <w:pPr>
        <w:bidi w:val="0"/>
        <w:outlineLvl w:val="1"/>
        <w:rPr>
          <w:rFonts w:hint="eastAsia"/>
          <w:color w:val="auto"/>
        </w:rPr>
      </w:pPr>
      <w:bookmarkStart w:id="61" w:name="_Toc27823"/>
      <w:bookmarkStart w:id="62" w:name="_Toc3480"/>
      <w:bookmarkStart w:id="63" w:name="_Toc28169"/>
      <w:r>
        <w:rPr>
          <w:rFonts w:hint="eastAsia"/>
          <w:color w:val="auto"/>
        </w:rPr>
        <w:t>第十四条 争议的解决</w:t>
      </w:r>
      <w:bookmarkEnd w:id="61"/>
      <w:bookmarkEnd w:id="62"/>
      <w:bookmarkEnd w:id="63"/>
    </w:p>
    <w:p w14:paraId="7EEB0A8D">
      <w:pPr>
        <w:bidi w:val="0"/>
        <w:rPr>
          <w:rFonts w:hint="eastAsia"/>
          <w:color w:val="auto"/>
        </w:rPr>
      </w:pPr>
      <w:r>
        <w:rPr>
          <w:rFonts w:hint="eastAsia"/>
          <w:color w:val="auto"/>
        </w:rPr>
        <w:t>1、因货物的质量问题发生争议，由质量技术监督部门或其指定的质量鉴定机构进行质量鉴定。货物符合标准的，鉴定费由甲方承担；货物不符合质量标准的，鉴定费由乙方承担。</w:t>
      </w:r>
    </w:p>
    <w:p w14:paraId="3278E6A4">
      <w:pPr>
        <w:bidi w:val="0"/>
        <w:rPr>
          <w:rFonts w:hint="eastAsia"/>
          <w:color w:val="auto"/>
        </w:rPr>
      </w:pPr>
      <w:r>
        <w:rPr>
          <w:rFonts w:hint="eastAsia"/>
          <w:color w:val="auto"/>
        </w:rPr>
        <w:t>2、因履行本合同引起的或与本合同有关的争议，甲、乙双方应首先通过友好协商解决，如果协商不能解决争议，则采取以下第       种方式解决争议：</w:t>
      </w:r>
    </w:p>
    <w:p w14:paraId="6403E61E">
      <w:pPr>
        <w:bidi w:val="0"/>
        <w:rPr>
          <w:rFonts w:hint="eastAsia"/>
          <w:color w:val="auto"/>
        </w:rPr>
      </w:pPr>
      <w:r>
        <w:rPr>
          <w:rFonts w:hint="eastAsia"/>
          <w:color w:val="auto"/>
        </w:rPr>
        <w:t>（1） 向甲方所在地有管辖权的人民法院提起诉讼；</w:t>
      </w:r>
    </w:p>
    <w:p w14:paraId="06B8C8F0">
      <w:pPr>
        <w:bidi w:val="0"/>
        <w:rPr>
          <w:rFonts w:hint="eastAsia"/>
          <w:color w:val="auto"/>
        </w:rPr>
      </w:pPr>
      <w:r>
        <w:rPr>
          <w:rFonts w:hint="eastAsia"/>
          <w:color w:val="auto"/>
        </w:rPr>
        <w:t>（2） 向</w:t>
      </w:r>
      <w:r>
        <w:rPr>
          <w:rFonts w:hint="eastAsia"/>
          <w:color w:val="auto"/>
          <w:u w:val="single"/>
        </w:rPr>
        <w:t xml:space="preserve">    </w:t>
      </w:r>
      <w:r>
        <w:rPr>
          <w:rFonts w:hint="eastAsia"/>
          <w:color w:val="auto"/>
          <w:u w:val="single"/>
          <w:lang w:val="en-US" w:eastAsia="zh-CN"/>
        </w:rPr>
        <w:t>渭南市</w:t>
      </w:r>
      <w:r>
        <w:rPr>
          <w:rFonts w:hint="eastAsia"/>
          <w:color w:val="auto"/>
          <w:u w:val="single"/>
        </w:rPr>
        <w:t xml:space="preserve"> </w:t>
      </w:r>
      <w:r>
        <w:rPr>
          <w:rFonts w:hint="eastAsia"/>
          <w:color w:val="auto"/>
        </w:rPr>
        <w:t xml:space="preserve"> 仲裁委员会按其仲裁规则申请仲裁。</w:t>
      </w:r>
    </w:p>
    <w:p w14:paraId="1028BF8F">
      <w:pPr>
        <w:bidi w:val="0"/>
        <w:outlineLvl w:val="2"/>
        <w:rPr>
          <w:rFonts w:hint="eastAsia"/>
          <w:color w:val="auto"/>
        </w:rPr>
      </w:pPr>
      <w:bookmarkStart w:id="64" w:name="_Toc7678"/>
      <w:bookmarkStart w:id="65" w:name="_Toc14013"/>
      <w:r>
        <w:rPr>
          <w:rFonts w:hint="eastAsia"/>
          <w:color w:val="auto"/>
        </w:rPr>
        <w:t>3、在仲裁期间，本合同应继续履行。</w:t>
      </w:r>
      <w:bookmarkEnd w:id="64"/>
      <w:bookmarkEnd w:id="65"/>
    </w:p>
    <w:p w14:paraId="2D90F740">
      <w:pPr>
        <w:bidi w:val="0"/>
        <w:outlineLvl w:val="1"/>
        <w:rPr>
          <w:rFonts w:hint="eastAsia"/>
          <w:color w:val="auto"/>
        </w:rPr>
      </w:pPr>
      <w:bookmarkStart w:id="66" w:name="_Toc9028"/>
      <w:bookmarkStart w:id="67" w:name="_Toc27565"/>
      <w:bookmarkStart w:id="68" w:name="_Toc5570"/>
      <w:r>
        <w:rPr>
          <w:rFonts w:hint="eastAsia"/>
          <w:color w:val="auto"/>
        </w:rPr>
        <w:t>第十五条 合同文件</w:t>
      </w:r>
      <w:bookmarkEnd w:id="66"/>
      <w:bookmarkEnd w:id="67"/>
      <w:bookmarkEnd w:id="68"/>
    </w:p>
    <w:p w14:paraId="13523799">
      <w:pPr>
        <w:bidi w:val="0"/>
        <w:rPr>
          <w:rFonts w:hint="eastAsia"/>
          <w:color w:val="auto"/>
        </w:rPr>
      </w:pPr>
      <w:r>
        <w:rPr>
          <w:rFonts w:hint="eastAsia"/>
          <w:color w:val="auto"/>
        </w:rPr>
        <w:t>详细技术说明及其他有关合同项目的特定信息由合同附件予以说明，下列文件构成本合 同的组成部分，应该认为是一个整体，彼此相互解释，相互补充。组成合同的多个文件的优</w:t>
      </w:r>
    </w:p>
    <w:p w14:paraId="6BED4E2F">
      <w:pPr>
        <w:bidi w:val="0"/>
        <w:rPr>
          <w:rFonts w:hint="eastAsia"/>
          <w:color w:val="auto"/>
        </w:rPr>
      </w:pPr>
      <w:r>
        <w:rPr>
          <w:rFonts w:hint="eastAsia"/>
          <w:color w:val="auto"/>
        </w:rPr>
        <w:t>先支配地位的次序如下：</w:t>
      </w:r>
    </w:p>
    <w:p w14:paraId="66A6D446">
      <w:pPr>
        <w:bidi w:val="0"/>
        <w:rPr>
          <w:rFonts w:hint="eastAsia"/>
          <w:color w:val="auto"/>
        </w:rPr>
      </w:pPr>
      <w:r>
        <w:rPr>
          <w:rFonts w:hint="eastAsia"/>
          <w:color w:val="auto"/>
        </w:rPr>
        <w:t>1、本合同书</w:t>
      </w:r>
    </w:p>
    <w:p w14:paraId="0596BE3B">
      <w:pPr>
        <w:bidi w:val="0"/>
        <w:rPr>
          <w:rFonts w:hint="eastAsia"/>
          <w:color w:val="auto"/>
        </w:rPr>
      </w:pPr>
      <w:r>
        <w:rPr>
          <w:rFonts w:hint="eastAsia"/>
          <w:color w:val="auto"/>
        </w:rPr>
        <w:t>2、中标通知书</w:t>
      </w:r>
    </w:p>
    <w:p w14:paraId="3EF196D1">
      <w:pPr>
        <w:bidi w:val="0"/>
        <w:rPr>
          <w:rFonts w:hint="eastAsia"/>
          <w:color w:val="auto"/>
        </w:rPr>
      </w:pPr>
      <w:r>
        <w:rPr>
          <w:rFonts w:hint="eastAsia"/>
          <w:color w:val="auto"/>
        </w:rPr>
        <w:t>3、协议</w:t>
      </w:r>
    </w:p>
    <w:p w14:paraId="7C8DF3AC">
      <w:pPr>
        <w:bidi w:val="0"/>
        <w:rPr>
          <w:rFonts w:hint="eastAsia"/>
          <w:color w:val="auto"/>
        </w:rPr>
      </w:pPr>
      <w:r>
        <w:rPr>
          <w:rFonts w:hint="eastAsia"/>
          <w:color w:val="auto"/>
        </w:rPr>
        <w:t>4、投标文件(含澄清文件)</w:t>
      </w:r>
    </w:p>
    <w:p w14:paraId="0C4D8C51">
      <w:pPr>
        <w:bidi w:val="0"/>
        <w:rPr>
          <w:rFonts w:hint="eastAsia"/>
          <w:color w:val="auto"/>
        </w:rPr>
      </w:pPr>
      <w:r>
        <w:rPr>
          <w:rFonts w:hint="eastAsia"/>
          <w:color w:val="auto"/>
        </w:rPr>
        <w:t>5、招标文件(含招标文件补充通知)</w:t>
      </w:r>
    </w:p>
    <w:p w14:paraId="11E7EED4">
      <w:pPr>
        <w:bidi w:val="0"/>
        <w:outlineLvl w:val="1"/>
        <w:rPr>
          <w:rFonts w:hint="eastAsia"/>
          <w:color w:val="auto"/>
        </w:rPr>
      </w:pPr>
      <w:bookmarkStart w:id="69" w:name="_Toc21921"/>
      <w:bookmarkStart w:id="70" w:name="_Toc28039"/>
      <w:bookmarkStart w:id="71" w:name="_Toc25648"/>
      <w:r>
        <w:rPr>
          <w:rFonts w:hint="eastAsia"/>
          <w:color w:val="auto"/>
        </w:rPr>
        <w:t>第十六条 合同生效及其他</w:t>
      </w:r>
      <w:bookmarkEnd w:id="69"/>
      <w:bookmarkEnd w:id="70"/>
      <w:bookmarkEnd w:id="71"/>
    </w:p>
    <w:p w14:paraId="56FE7C1B">
      <w:pPr>
        <w:bidi w:val="0"/>
        <w:rPr>
          <w:rFonts w:hint="eastAsia"/>
          <w:color w:val="auto"/>
        </w:rPr>
      </w:pPr>
      <w:r>
        <w:rPr>
          <w:rFonts w:hint="eastAsia"/>
          <w:color w:val="auto"/>
        </w:rPr>
        <w:t>1、本合同一式</w:t>
      </w:r>
      <w:r>
        <w:rPr>
          <w:rFonts w:hint="eastAsia"/>
          <w:color w:val="auto"/>
          <w:u w:val="single"/>
        </w:rPr>
        <w:t xml:space="preserve">  陆 </w:t>
      </w:r>
      <w:r>
        <w:rPr>
          <w:rFonts w:hint="eastAsia"/>
          <w:color w:val="auto"/>
        </w:rPr>
        <w:t xml:space="preserve"> 份， 甲方持</w:t>
      </w:r>
      <w:r>
        <w:rPr>
          <w:rFonts w:hint="eastAsia"/>
          <w:color w:val="auto"/>
          <w:u w:val="single"/>
        </w:rPr>
        <w:t xml:space="preserve"> 贰 </w:t>
      </w:r>
      <w:r>
        <w:rPr>
          <w:rFonts w:hint="eastAsia"/>
          <w:color w:val="auto"/>
        </w:rPr>
        <w:t>份， 乙方持</w:t>
      </w:r>
      <w:r>
        <w:rPr>
          <w:rFonts w:hint="eastAsia"/>
          <w:color w:val="auto"/>
          <w:u w:val="single"/>
        </w:rPr>
        <w:t xml:space="preserve"> 贰</w:t>
      </w:r>
      <w:r>
        <w:rPr>
          <w:rFonts w:hint="eastAsia"/>
          <w:color w:val="auto"/>
        </w:rPr>
        <w:t xml:space="preserve"> 份， </w:t>
      </w:r>
      <w:r>
        <w:rPr>
          <w:rFonts w:hint="eastAsia"/>
          <w:color w:val="auto"/>
          <w:lang w:val="en-US" w:eastAsia="zh-CN"/>
        </w:rPr>
        <w:t>采购代理机构</w:t>
      </w:r>
      <w:r>
        <w:rPr>
          <w:rFonts w:hint="eastAsia"/>
          <w:color w:val="auto"/>
        </w:rPr>
        <w:t xml:space="preserve"> </w:t>
      </w:r>
      <w:r>
        <w:rPr>
          <w:rFonts w:hint="eastAsia"/>
          <w:color w:val="auto"/>
          <w:u w:val="single"/>
        </w:rPr>
        <w:t xml:space="preserve"> 壹</w:t>
      </w:r>
      <w:r>
        <w:rPr>
          <w:rFonts w:hint="eastAsia"/>
          <w:color w:val="auto"/>
        </w:rPr>
        <w:t xml:space="preserve"> 份， </w:t>
      </w:r>
      <w:r>
        <w:rPr>
          <w:rFonts w:hint="eastAsia"/>
          <w:color w:val="auto"/>
          <w:lang w:val="en-US" w:eastAsia="zh-CN"/>
        </w:rPr>
        <w:t>渭南</w:t>
      </w:r>
      <w:r>
        <w:rPr>
          <w:rFonts w:hint="eastAsia"/>
          <w:color w:val="auto"/>
        </w:rPr>
        <w:t>市</w:t>
      </w:r>
      <w:r>
        <w:rPr>
          <w:rFonts w:hint="eastAsia"/>
          <w:color w:val="auto"/>
          <w:lang w:val="en-US" w:eastAsia="zh-CN"/>
        </w:rPr>
        <w:t>临渭区</w:t>
      </w:r>
      <w:bookmarkStart w:id="74" w:name="_GoBack"/>
      <w:bookmarkEnd w:id="74"/>
      <w:r>
        <w:rPr>
          <w:rFonts w:hint="eastAsia"/>
          <w:color w:val="auto"/>
        </w:rPr>
        <w:t>财政局备案</w:t>
      </w:r>
      <w:r>
        <w:rPr>
          <w:rFonts w:hint="eastAsia"/>
          <w:color w:val="auto"/>
          <w:u w:val="single"/>
        </w:rPr>
        <w:t xml:space="preserve"> 壹</w:t>
      </w:r>
      <w:r>
        <w:rPr>
          <w:rFonts w:hint="eastAsia"/>
          <w:color w:val="auto"/>
        </w:rPr>
        <w:t xml:space="preserve"> 份，本合同甲、乙、鉴证各方签字并盖章后生效，合同执行完毕后，自动失效（合同的服务承诺则长期有效）。</w:t>
      </w:r>
    </w:p>
    <w:p w14:paraId="5EDE986A">
      <w:pPr>
        <w:bidi w:val="0"/>
        <w:outlineLvl w:val="2"/>
        <w:rPr>
          <w:rFonts w:hint="eastAsia"/>
          <w:color w:val="auto"/>
        </w:rPr>
      </w:pPr>
      <w:bookmarkStart w:id="72" w:name="_Toc15142"/>
      <w:bookmarkStart w:id="73" w:name="_Toc16035"/>
      <w:r>
        <w:rPr>
          <w:rFonts w:hint="eastAsia"/>
          <w:color w:val="auto"/>
        </w:rPr>
        <w:t>2、鉴证方作为采购代理机构对合同进行确认。</w:t>
      </w:r>
      <w:bookmarkEnd w:id="72"/>
      <w:bookmarkEnd w:id="73"/>
    </w:p>
    <w:p w14:paraId="6C5009FC">
      <w:pPr>
        <w:bidi w:val="0"/>
        <w:rPr>
          <w:rFonts w:hint="eastAsia"/>
          <w:color w:val="auto"/>
        </w:rPr>
      </w:pPr>
      <w:r>
        <w:rPr>
          <w:rFonts w:hint="eastAsia"/>
          <w:color w:val="auto"/>
        </w:rPr>
        <w:t>3、</w:t>
      </w:r>
      <w:r>
        <w:rPr>
          <w:rFonts w:hint="eastAsia"/>
          <w:color w:val="auto"/>
          <w:lang w:val="en-US" w:eastAsia="zh-CN"/>
        </w:rPr>
        <w:t>渭南</w:t>
      </w:r>
      <w:r>
        <w:rPr>
          <w:rFonts w:hint="eastAsia"/>
          <w:color w:val="auto"/>
        </w:rPr>
        <w:t>市财政局在合同的履行期间以及履行期后， 可以随时检查项目的执行情况，对采购标准、采购内容进行调查核实， 并对发现的问题进行处理。</w:t>
      </w:r>
    </w:p>
    <w:p w14:paraId="3B7C7173">
      <w:pPr>
        <w:bidi w:val="0"/>
        <w:rPr>
          <w:rFonts w:hint="eastAsia"/>
          <w:color w:val="auto"/>
        </w:rPr>
      </w:pPr>
      <w:r>
        <w:rPr>
          <w:rFonts w:hint="eastAsia"/>
          <w:color w:val="auto"/>
        </w:rPr>
        <w:t>4、甲乙双方因不可抗力导致本合同全部或部分不能履行时， 发生不可抗力的一方应 当在不可抗力发生后 3 天内书面通知对方， 以减轻可能给对方造成的损失。因不可抗力导致本合同全部或部分不能履行时，双方各自承担其因此而造成的损失、损害。</w:t>
      </w:r>
    </w:p>
    <w:p w14:paraId="089BB1AB">
      <w:pPr>
        <w:bidi w:val="0"/>
        <w:rPr>
          <w:rFonts w:hint="eastAsia"/>
          <w:color w:val="auto"/>
        </w:rPr>
      </w:pPr>
      <w:r>
        <w:rPr>
          <w:rFonts w:hint="eastAsia"/>
          <w:color w:val="auto"/>
        </w:rPr>
        <w:t>5、合同未尽事宜， 由甲、乙双方协商并经鉴证方确认后签订政府采购补充合同， 与原合同具有同等法律效力。</w:t>
      </w:r>
    </w:p>
    <w:p w14:paraId="30C200A9">
      <w:pPr>
        <w:bidi w:val="0"/>
        <w:rPr>
          <w:rFonts w:hint="eastAsia"/>
          <w:color w:val="auto"/>
        </w:rPr>
      </w:pPr>
    </w:p>
    <w:p w14:paraId="48919BD6">
      <w:pPr>
        <w:rPr>
          <w:rFonts w:hint="eastAsia"/>
          <w:color w:val="auto"/>
        </w:rPr>
      </w:pPr>
      <w:r>
        <w:rPr>
          <w:rFonts w:hint="eastAsia"/>
          <w:color w:val="auto"/>
        </w:rPr>
        <w:br w:type="page"/>
      </w:r>
    </w:p>
    <w:p w14:paraId="7C5EBF2D">
      <w:pPr>
        <w:bidi w:val="0"/>
        <w:rPr>
          <w:rFonts w:hint="eastAsia"/>
          <w:color w:val="auto"/>
        </w:rPr>
      </w:pPr>
      <w:r>
        <w:rPr>
          <w:rFonts w:hint="eastAsia"/>
          <w:color w:val="auto"/>
        </w:rPr>
        <w:t>（本页以下无正文）</w:t>
      </w:r>
    </w:p>
    <w:p w14:paraId="4BD2A475">
      <w:pPr>
        <w:bidi w:val="0"/>
        <w:rPr>
          <w:rFonts w:hint="eastAsia"/>
          <w:color w:val="auto"/>
        </w:rPr>
      </w:pPr>
    </w:p>
    <w:tbl>
      <w:tblPr>
        <w:tblStyle w:val="8"/>
        <w:tblW w:w="9519"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93"/>
        <w:gridCol w:w="4726"/>
      </w:tblGrid>
      <w:tr w14:paraId="4D33A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4" w:hRule="atLeast"/>
        </w:trPr>
        <w:tc>
          <w:tcPr>
            <w:tcW w:w="4793" w:type="dxa"/>
            <w:vAlign w:val="top"/>
          </w:tcPr>
          <w:p w14:paraId="22770633">
            <w:pPr>
              <w:bidi w:val="0"/>
              <w:rPr>
                <w:rFonts w:hint="eastAsia"/>
                <w:color w:val="auto"/>
              </w:rPr>
            </w:pPr>
            <w:r>
              <w:rPr>
                <w:rFonts w:hint="eastAsia"/>
                <w:color w:val="auto"/>
              </w:rPr>
              <w:t>甲   方</w:t>
            </w:r>
          </w:p>
        </w:tc>
        <w:tc>
          <w:tcPr>
            <w:tcW w:w="4726" w:type="dxa"/>
            <w:vAlign w:val="top"/>
          </w:tcPr>
          <w:p w14:paraId="5DC2A8B7">
            <w:pPr>
              <w:bidi w:val="0"/>
              <w:rPr>
                <w:rFonts w:hint="eastAsia"/>
                <w:color w:val="auto"/>
              </w:rPr>
            </w:pPr>
            <w:r>
              <w:rPr>
                <w:rFonts w:hint="eastAsia"/>
                <w:color w:val="auto"/>
              </w:rPr>
              <w:t>乙   方</w:t>
            </w:r>
          </w:p>
        </w:tc>
      </w:tr>
      <w:tr w14:paraId="72A1D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1" w:hRule="atLeast"/>
        </w:trPr>
        <w:tc>
          <w:tcPr>
            <w:tcW w:w="4793" w:type="dxa"/>
            <w:vAlign w:val="top"/>
          </w:tcPr>
          <w:p w14:paraId="4C9665FF">
            <w:pPr>
              <w:bidi w:val="0"/>
              <w:rPr>
                <w:rFonts w:hint="eastAsia"/>
                <w:color w:val="auto"/>
                <w:lang w:val="en-US" w:eastAsia="zh-CN"/>
              </w:rPr>
            </w:pPr>
            <w:r>
              <w:rPr>
                <w:rFonts w:hint="eastAsia"/>
                <w:color w:val="auto"/>
                <w:lang w:val="en-US" w:eastAsia="zh-CN"/>
              </w:rPr>
              <w:t>单位名称</w:t>
            </w:r>
          </w:p>
          <w:p w14:paraId="4058466F">
            <w:pPr>
              <w:bidi w:val="0"/>
              <w:rPr>
                <w:rFonts w:hint="eastAsia"/>
                <w:color w:val="auto"/>
              </w:rPr>
            </w:pPr>
            <w:r>
              <w:rPr>
                <w:rFonts w:hint="eastAsia"/>
                <w:color w:val="auto"/>
              </w:rPr>
              <w:t>（盖章）</w:t>
            </w:r>
          </w:p>
        </w:tc>
        <w:tc>
          <w:tcPr>
            <w:tcW w:w="4726" w:type="dxa"/>
            <w:vAlign w:val="top"/>
          </w:tcPr>
          <w:p w14:paraId="2A68BE9C">
            <w:pPr>
              <w:bidi w:val="0"/>
              <w:rPr>
                <w:rFonts w:hint="eastAsia" w:eastAsia="宋体"/>
                <w:color w:val="auto"/>
                <w:lang w:eastAsia="zh-CN"/>
              </w:rPr>
            </w:pPr>
            <w:r>
              <w:rPr>
                <w:rFonts w:hint="eastAsia"/>
                <w:color w:val="auto"/>
                <w:lang w:eastAsia="zh-CN"/>
              </w:rPr>
              <w:t>单位名称</w:t>
            </w:r>
          </w:p>
          <w:p w14:paraId="3025E30D">
            <w:pPr>
              <w:bidi w:val="0"/>
              <w:rPr>
                <w:rFonts w:hint="eastAsia"/>
                <w:color w:val="auto"/>
              </w:rPr>
            </w:pPr>
            <w:r>
              <w:rPr>
                <w:rFonts w:hint="eastAsia"/>
                <w:color w:val="auto"/>
              </w:rPr>
              <w:t>（盖章）</w:t>
            </w:r>
          </w:p>
        </w:tc>
      </w:tr>
      <w:tr w14:paraId="5CFC0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92" w:hRule="atLeast"/>
        </w:trPr>
        <w:tc>
          <w:tcPr>
            <w:tcW w:w="4793" w:type="dxa"/>
            <w:vAlign w:val="top"/>
          </w:tcPr>
          <w:p w14:paraId="2F01586E">
            <w:pPr>
              <w:bidi w:val="0"/>
              <w:rPr>
                <w:rFonts w:hint="eastAsia"/>
                <w:color w:val="auto"/>
              </w:rPr>
            </w:pPr>
          </w:p>
          <w:p w14:paraId="37FEDE27">
            <w:pPr>
              <w:bidi w:val="0"/>
              <w:rPr>
                <w:rFonts w:hint="eastAsia"/>
                <w:color w:val="auto"/>
              </w:rPr>
            </w:pPr>
            <w:r>
              <w:rPr>
                <w:rFonts w:hint="eastAsia"/>
                <w:color w:val="auto"/>
              </w:rPr>
              <w:t>地址：</w:t>
            </w:r>
          </w:p>
        </w:tc>
        <w:tc>
          <w:tcPr>
            <w:tcW w:w="4726" w:type="dxa"/>
            <w:vAlign w:val="top"/>
          </w:tcPr>
          <w:p w14:paraId="2844CD7C">
            <w:pPr>
              <w:bidi w:val="0"/>
              <w:rPr>
                <w:rFonts w:hint="eastAsia"/>
                <w:color w:val="auto"/>
              </w:rPr>
            </w:pPr>
          </w:p>
          <w:p w14:paraId="5ABC089B">
            <w:pPr>
              <w:bidi w:val="0"/>
              <w:rPr>
                <w:rFonts w:hint="eastAsia"/>
                <w:color w:val="auto"/>
              </w:rPr>
            </w:pPr>
            <w:r>
              <w:rPr>
                <w:rFonts w:hint="eastAsia"/>
                <w:color w:val="auto"/>
              </w:rPr>
              <w:t>地址：</w:t>
            </w:r>
          </w:p>
        </w:tc>
      </w:tr>
      <w:tr w14:paraId="02D3F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43" w:hRule="atLeast"/>
        </w:trPr>
        <w:tc>
          <w:tcPr>
            <w:tcW w:w="4793" w:type="dxa"/>
            <w:vAlign w:val="top"/>
          </w:tcPr>
          <w:p w14:paraId="1322FF5A">
            <w:pPr>
              <w:bidi w:val="0"/>
              <w:rPr>
                <w:rFonts w:hint="eastAsia"/>
                <w:color w:val="auto"/>
              </w:rPr>
            </w:pPr>
            <w:r>
              <w:rPr>
                <w:rFonts w:hint="eastAsia"/>
                <w:color w:val="auto"/>
              </w:rPr>
              <w:t>法定代表人：</w:t>
            </w:r>
          </w:p>
          <w:p w14:paraId="2D9B4C55">
            <w:pPr>
              <w:bidi w:val="0"/>
              <w:rPr>
                <w:rFonts w:hint="eastAsia"/>
                <w:color w:val="auto"/>
              </w:rPr>
            </w:pPr>
          </w:p>
          <w:p w14:paraId="7DF23154">
            <w:pPr>
              <w:bidi w:val="0"/>
              <w:rPr>
                <w:rFonts w:hint="eastAsia"/>
                <w:color w:val="auto"/>
              </w:rPr>
            </w:pPr>
            <w:r>
              <w:rPr>
                <w:rFonts w:hint="eastAsia"/>
                <w:color w:val="auto"/>
              </w:rPr>
              <w:t>（签字或盖章）</w:t>
            </w:r>
          </w:p>
        </w:tc>
        <w:tc>
          <w:tcPr>
            <w:tcW w:w="4726" w:type="dxa"/>
            <w:vAlign w:val="top"/>
          </w:tcPr>
          <w:p w14:paraId="1C27398F">
            <w:pPr>
              <w:bidi w:val="0"/>
              <w:rPr>
                <w:rFonts w:hint="eastAsia"/>
                <w:color w:val="auto"/>
              </w:rPr>
            </w:pPr>
            <w:r>
              <w:rPr>
                <w:rFonts w:hint="eastAsia"/>
                <w:color w:val="auto"/>
              </w:rPr>
              <w:t>法定代表人：</w:t>
            </w:r>
          </w:p>
          <w:p w14:paraId="2F371354">
            <w:pPr>
              <w:bidi w:val="0"/>
              <w:rPr>
                <w:rFonts w:hint="eastAsia"/>
                <w:color w:val="auto"/>
              </w:rPr>
            </w:pPr>
          </w:p>
          <w:p w14:paraId="25845A11">
            <w:pPr>
              <w:bidi w:val="0"/>
              <w:rPr>
                <w:rFonts w:hint="eastAsia"/>
                <w:color w:val="auto"/>
              </w:rPr>
            </w:pPr>
            <w:r>
              <w:rPr>
                <w:rFonts w:hint="eastAsia"/>
                <w:color w:val="auto"/>
              </w:rPr>
              <w:t>（签字或盖章）</w:t>
            </w:r>
          </w:p>
        </w:tc>
      </w:tr>
      <w:tr w14:paraId="173D3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43" w:hRule="atLeast"/>
        </w:trPr>
        <w:tc>
          <w:tcPr>
            <w:tcW w:w="4793" w:type="dxa"/>
            <w:vAlign w:val="top"/>
          </w:tcPr>
          <w:p w14:paraId="41E66509">
            <w:pPr>
              <w:bidi w:val="0"/>
              <w:rPr>
                <w:rFonts w:hint="eastAsia"/>
                <w:color w:val="auto"/>
              </w:rPr>
            </w:pPr>
            <w:r>
              <w:rPr>
                <w:rFonts w:hint="eastAsia"/>
                <w:color w:val="auto"/>
              </w:rPr>
              <w:t>被授权代表：</w:t>
            </w:r>
          </w:p>
          <w:p w14:paraId="7A3F1BB4">
            <w:pPr>
              <w:bidi w:val="0"/>
              <w:rPr>
                <w:rFonts w:hint="eastAsia"/>
                <w:color w:val="auto"/>
              </w:rPr>
            </w:pPr>
          </w:p>
          <w:p w14:paraId="678E8A40">
            <w:pPr>
              <w:bidi w:val="0"/>
              <w:rPr>
                <w:rFonts w:hint="eastAsia"/>
                <w:color w:val="auto"/>
              </w:rPr>
            </w:pPr>
            <w:r>
              <w:rPr>
                <w:rFonts w:hint="eastAsia"/>
                <w:color w:val="auto"/>
              </w:rPr>
              <w:t>（签字或盖章）</w:t>
            </w:r>
          </w:p>
        </w:tc>
        <w:tc>
          <w:tcPr>
            <w:tcW w:w="4726" w:type="dxa"/>
            <w:vAlign w:val="top"/>
          </w:tcPr>
          <w:p w14:paraId="7EC3A32F">
            <w:pPr>
              <w:bidi w:val="0"/>
              <w:rPr>
                <w:rFonts w:hint="eastAsia"/>
                <w:color w:val="auto"/>
              </w:rPr>
            </w:pPr>
            <w:r>
              <w:rPr>
                <w:rFonts w:hint="eastAsia"/>
                <w:color w:val="auto"/>
              </w:rPr>
              <w:t>被授权代表：</w:t>
            </w:r>
          </w:p>
          <w:p w14:paraId="23A6F77E">
            <w:pPr>
              <w:bidi w:val="0"/>
              <w:rPr>
                <w:rFonts w:hint="eastAsia"/>
                <w:color w:val="auto"/>
              </w:rPr>
            </w:pPr>
          </w:p>
          <w:p w14:paraId="1F434B5D">
            <w:pPr>
              <w:bidi w:val="0"/>
              <w:rPr>
                <w:rFonts w:hint="eastAsia"/>
                <w:color w:val="auto"/>
              </w:rPr>
            </w:pPr>
            <w:r>
              <w:rPr>
                <w:rFonts w:hint="eastAsia"/>
                <w:color w:val="auto"/>
              </w:rPr>
              <w:t>（签字或盖章）</w:t>
            </w:r>
          </w:p>
        </w:tc>
      </w:tr>
      <w:tr w14:paraId="22CFD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8" w:hRule="atLeast"/>
        </w:trPr>
        <w:tc>
          <w:tcPr>
            <w:tcW w:w="4793" w:type="dxa"/>
            <w:vAlign w:val="top"/>
          </w:tcPr>
          <w:p w14:paraId="3DDA9F48">
            <w:pPr>
              <w:bidi w:val="0"/>
              <w:rPr>
                <w:rFonts w:hint="eastAsia"/>
                <w:color w:val="auto"/>
              </w:rPr>
            </w:pPr>
            <w:r>
              <w:rPr>
                <w:rFonts w:hint="eastAsia"/>
                <w:color w:val="auto"/>
              </w:rPr>
              <w:t>电  话：</w:t>
            </w:r>
          </w:p>
        </w:tc>
        <w:tc>
          <w:tcPr>
            <w:tcW w:w="4726" w:type="dxa"/>
            <w:vAlign w:val="top"/>
          </w:tcPr>
          <w:p w14:paraId="51BB3005">
            <w:pPr>
              <w:bidi w:val="0"/>
              <w:rPr>
                <w:rFonts w:hint="eastAsia"/>
                <w:color w:val="auto"/>
              </w:rPr>
            </w:pPr>
            <w:r>
              <w:rPr>
                <w:rFonts w:hint="eastAsia"/>
                <w:color w:val="auto"/>
              </w:rPr>
              <w:t>电 话：</w:t>
            </w:r>
          </w:p>
        </w:tc>
      </w:tr>
      <w:tr w14:paraId="532C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1" w:hRule="atLeast"/>
        </w:trPr>
        <w:tc>
          <w:tcPr>
            <w:tcW w:w="4793" w:type="dxa"/>
            <w:vAlign w:val="top"/>
          </w:tcPr>
          <w:p w14:paraId="40034E6E">
            <w:pPr>
              <w:bidi w:val="0"/>
              <w:rPr>
                <w:rFonts w:hint="eastAsia"/>
                <w:color w:val="auto"/>
              </w:rPr>
            </w:pPr>
            <w:r>
              <w:rPr>
                <w:rFonts w:hint="eastAsia"/>
                <w:color w:val="auto"/>
              </w:rPr>
              <w:t>邮  编： 71</w:t>
            </w:r>
            <w:r>
              <w:rPr>
                <w:rFonts w:hint="eastAsia"/>
                <w:color w:val="auto"/>
                <w:lang w:val="en-US" w:eastAsia="zh-CN"/>
              </w:rPr>
              <w:t>4</w:t>
            </w:r>
            <w:r>
              <w:rPr>
                <w:rFonts w:hint="eastAsia"/>
                <w:color w:val="auto"/>
              </w:rPr>
              <w:t>000</w:t>
            </w:r>
          </w:p>
        </w:tc>
        <w:tc>
          <w:tcPr>
            <w:tcW w:w="4726" w:type="dxa"/>
            <w:vAlign w:val="top"/>
          </w:tcPr>
          <w:p w14:paraId="069570B2">
            <w:pPr>
              <w:bidi w:val="0"/>
              <w:rPr>
                <w:rFonts w:hint="eastAsia"/>
                <w:color w:val="auto"/>
              </w:rPr>
            </w:pPr>
            <w:r>
              <w:rPr>
                <w:rFonts w:hint="eastAsia"/>
                <w:color w:val="auto"/>
              </w:rPr>
              <w:t>邮 编：</w:t>
            </w:r>
          </w:p>
        </w:tc>
      </w:tr>
      <w:tr w14:paraId="41234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2" w:hRule="atLeast"/>
        </w:trPr>
        <w:tc>
          <w:tcPr>
            <w:tcW w:w="4793" w:type="dxa"/>
            <w:vAlign w:val="top"/>
          </w:tcPr>
          <w:p w14:paraId="4AC2C577">
            <w:pPr>
              <w:bidi w:val="0"/>
              <w:rPr>
                <w:rFonts w:hint="eastAsia"/>
                <w:color w:val="auto"/>
              </w:rPr>
            </w:pPr>
          </w:p>
        </w:tc>
        <w:tc>
          <w:tcPr>
            <w:tcW w:w="4726" w:type="dxa"/>
            <w:vAlign w:val="top"/>
          </w:tcPr>
          <w:p w14:paraId="25ECF007">
            <w:pPr>
              <w:bidi w:val="0"/>
              <w:rPr>
                <w:rFonts w:hint="eastAsia"/>
                <w:color w:val="auto"/>
              </w:rPr>
            </w:pPr>
            <w:r>
              <w:rPr>
                <w:rFonts w:hint="eastAsia"/>
                <w:color w:val="auto"/>
              </w:rPr>
              <w:t>开户银行：</w:t>
            </w:r>
          </w:p>
        </w:tc>
      </w:tr>
      <w:tr w14:paraId="34785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1" w:hRule="atLeast"/>
        </w:trPr>
        <w:tc>
          <w:tcPr>
            <w:tcW w:w="4793" w:type="dxa"/>
            <w:vAlign w:val="top"/>
          </w:tcPr>
          <w:p w14:paraId="5D8FD7EB">
            <w:pPr>
              <w:bidi w:val="0"/>
              <w:rPr>
                <w:rFonts w:hint="eastAsia"/>
                <w:color w:val="auto"/>
              </w:rPr>
            </w:pPr>
          </w:p>
        </w:tc>
        <w:tc>
          <w:tcPr>
            <w:tcW w:w="4726" w:type="dxa"/>
            <w:vAlign w:val="top"/>
          </w:tcPr>
          <w:p w14:paraId="2F42F31A">
            <w:pPr>
              <w:bidi w:val="0"/>
              <w:rPr>
                <w:rFonts w:hint="eastAsia"/>
                <w:color w:val="auto"/>
              </w:rPr>
            </w:pPr>
            <w:r>
              <w:rPr>
                <w:rFonts w:hint="eastAsia"/>
                <w:color w:val="auto"/>
              </w:rPr>
              <w:t>账号：</w:t>
            </w:r>
          </w:p>
        </w:tc>
      </w:tr>
      <w:tr w14:paraId="5B7C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5" w:hRule="atLeast"/>
        </w:trPr>
        <w:tc>
          <w:tcPr>
            <w:tcW w:w="4793" w:type="dxa"/>
            <w:vAlign w:val="top"/>
          </w:tcPr>
          <w:p w14:paraId="072DE0A2">
            <w:pPr>
              <w:bidi w:val="0"/>
              <w:ind w:left="0" w:leftChars="0" w:firstLine="0" w:firstLineChars="0"/>
              <w:rPr>
                <w:rFonts w:hint="eastAsia"/>
                <w:color w:val="auto"/>
              </w:rPr>
            </w:pPr>
            <w:r>
              <w:rPr>
                <w:rFonts w:hint="eastAsia"/>
                <w:color w:val="auto"/>
              </w:rPr>
              <w:t>日   期：        年     月      日</w:t>
            </w:r>
          </w:p>
        </w:tc>
        <w:tc>
          <w:tcPr>
            <w:tcW w:w="4726" w:type="dxa"/>
            <w:vAlign w:val="top"/>
          </w:tcPr>
          <w:p w14:paraId="4E2695F9">
            <w:pPr>
              <w:bidi w:val="0"/>
              <w:ind w:left="0" w:leftChars="0" w:firstLine="0" w:firstLineChars="0"/>
              <w:rPr>
                <w:rFonts w:hint="eastAsia"/>
                <w:color w:val="auto"/>
              </w:rPr>
            </w:pPr>
            <w:r>
              <w:rPr>
                <w:rFonts w:hint="eastAsia"/>
                <w:color w:val="auto"/>
              </w:rPr>
              <w:t>日   期：        年     月      日</w:t>
            </w:r>
          </w:p>
        </w:tc>
      </w:tr>
    </w:tbl>
    <w:p w14:paraId="0C63419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72249"/>
    <w:rsid w:val="1EBA30D7"/>
    <w:rsid w:val="282C66CF"/>
    <w:rsid w:val="66172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ind w:firstLine="556" w:firstLineChars="200"/>
      <w:jc w:val="left"/>
      <w:textAlignment w:val="baseline"/>
    </w:pPr>
    <w:rPr>
      <w:rFonts w:ascii="Arial" w:hAnsi="Arial" w:eastAsia="宋体" w:cs="Arial"/>
      <w:snapToGrid w:val="0"/>
      <w:color w:val="000000"/>
      <w:kern w:val="0"/>
      <w:sz w:val="28"/>
      <w:szCs w:val="21"/>
      <w:lang w:val="en-US" w:eastAsia="en-US" w:bidi="ar-SA"/>
    </w:rPr>
  </w:style>
  <w:style w:type="paragraph" w:styleId="2">
    <w:name w:val="heading 1"/>
    <w:basedOn w:val="1"/>
    <w:next w:val="1"/>
    <w:qFormat/>
    <w:uiPriority w:val="0"/>
    <w:pPr>
      <w:keepNext/>
      <w:keepLines/>
      <w:spacing w:beforeLines="0" w:beforeAutospacing="0" w:afterLines="0" w:afterAutospacing="0" w:line="360" w:lineRule="auto"/>
      <w:ind w:firstLine="643" w:firstLineChars="200"/>
      <w:jc w:val="center"/>
      <w:outlineLvl w:val="0"/>
    </w:pPr>
    <w:rPr>
      <w:rFonts w:eastAsia="宋体" w:asciiTheme="minorAscii" w:hAnsiTheme="minorAscii"/>
      <w:b/>
      <w:kern w:val="44"/>
      <w:sz w:val="32"/>
      <w:szCs w:val="2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customStyle="1" w:styleId="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6</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2025-08-04T10:08:00Z</dcterms:created>
  <dc:creator>三羊开泰</dc:creator>
  <cp:lastModifiedBy>三羊开泰</cp:lastModifiedBy>
  <dcterms:modified xsi:type="dcterms:W3CDTF">2025-08-04T10:14:52Z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F41658B5178B42C3979071F21E517CE6_11</vt:lpwstr>
  </property>
  <property fmtid="{D5CDD505-2E9C-101B-9397-08002B2CF9AE}" pid="4" name="KSOTemplateDocerSaveRecord">
    <vt:lpwstr>eyJoZGlkIjoiNjE5YzYyMzNmMTVkOTMxNDdmYmZiNDFjZDEzOGUwMGMiLCJ1c2VySWQiOiIyODE3OTg3NTAifQ==</vt:lpwstr>
  </property>
</Properties>
</file>