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版本号：ZCSP-临渭区-2025-0017320250804001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渭南市渗滤液处理厂扩容工程土地勘测定界及用地组卷技术服务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ZCSP-临渭区-2025-00173</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渭南市渗滤液处理厂扩容工程土地勘测定界及用地组卷技术服务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渭南市渗滤液处理厂扩容工程土地勘测定界及用地组卷技术服务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渗滤液处理厂扩容工程的实施，完成项目勘测定界报告（地类回退、面积分类表、国土空间规划图、现状图、三区三线图）、一书三方案、资料组卷报批，具备上报条件等内容并逐级上报最终取得省政府批复文件，本项目对渭南市渗滤液处理厂扩容工程土地勘测定界及用地组卷技术服务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采购包1（渭南市渗滤液处理厂扩容工程土地勘测定界及用地组卷技术服务）：属于专门面向中小企业采购。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0913-8139358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渗滤液处理厂扩容工程的实施，完成项目勘测定界报告（地类回退、面积分类表、国土空间规划图、现状图、三区三线图）、一书三方案、资料组卷报批，具备上报条件等内容并逐级上报最终取得省政府批复文件，本项目对渭南市渗滤液处理厂扩容工程土地勘测定界及用地组卷技术服务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348,000.00</w:t>
      </w:r>
    </w:p>
    <w:p>
      <w:pPr>
        <w:pStyle w:val="null3"/>
      </w:pPr>
      <w:r>
        <w:rPr>
          <w:rFonts w:ascii="仿宋_GB2312" w:hAnsi="仿宋_GB2312" w:cs="仿宋_GB2312" w:eastAsia="仿宋_GB2312"/>
        </w:rPr>
        <w:t>采购包最高限价（元）: 348,000.00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渭南市渗滤液处理厂扩容工程土地勘测定界及用地组卷技术服务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标的名称：渭南市渗滤液处理厂扩容工程土地勘测定界及用地组卷技术服务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rPr>
              <w:t>1、服务内容</w:t>
            </w:r>
          </w:p>
          <w:p>
            <w:pPr>
              <w:pStyle w:val="null3"/>
            </w:pPr>
            <w:r>
              <w:rPr>
                <w:rFonts w:ascii="仿宋_GB2312" w:hAnsi="仿宋_GB2312" w:cs="仿宋_GB2312" w:eastAsia="仿宋_GB2312"/>
              </w:rPr>
              <w:t>完成渭南市渗滤液处理厂扩容工程土地勘测定界报告（地类回退、面积分类表、国土空间规划图、现状图、三区三线图）、一书三方案、资料组卷报批，具备上报条件等内容并逐级上报最终取得省政府批复文件。</w:t>
            </w:r>
          </w:p>
          <w:p>
            <w:pPr>
              <w:pStyle w:val="null3"/>
            </w:pPr>
            <w:r>
              <w:rPr>
                <w:rFonts w:ascii="仿宋_GB2312" w:hAnsi="仿宋_GB2312" w:cs="仿宋_GB2312" w:eastAsia="仿宋_GB2312"/>
              </w:rPr>
              <w:t>2、服务具体要求</w:t>
            </w:r>
          </w:p>
          <w:p>
            <w:pPr>
              <w:pStyle w:val="null3"/>
            </w:pPr>
            <w:r>
              <w:rPr>
                <w:rFonts w:ascii="仿宋_GB2312" w:hAnsi="仿宋_GB2312" w:cs="仿宋_GB2312" w:eastAsia="仿宋_GB2312"/>
              </w:rPr>
              <w:t>提交对应工作成果，以省、市、区相关文件要求为准，同时满足采购人要求，所有技术标准以最新颁布的技术标准为准。</w:t>
            </w:r>
          </w:p>
          <w:p>
            <w:pPr>
              <w:pStyle w:val="null3"/>
            </w:pPr>
            <w:r>
              <w:rPr>
                <w:rFonts w:ascii="仿宋_GB2312" w:hAnsi="仿宋_GB2312" w:cs="仿宋_GB2312" w:eastAsia="仿宋_GB2312"/>
              </w:rPr>
              <w:t>3、服务标准</w:t>
            </w:r>
          </w:p>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（2）人员配备合理。有针对本项目的专项服务小组，项目负责人、工作人员分工明确（应有具体成员名单，包括姓名、工作职责等）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4、服务质量</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（2）成果文件及质量满足相关部门的规定。</w:t>
            </w:r>
          </w:p>
          <w:p>
            <w:pPr>
              <w:pStyle w:val="null3"/>
            </w:pPr>
            <w:r>
              <w:rPr>
                <w:rFonts w:ascii="仿宋_GB2312" w:hAnsi="仿宋_GB2312" w:cs="仿宋_GB2312" w:eastAsia="仿宋_GB2312"/>
              </w:rPr>
              <w:t>5、成果形式</w:t>
            </w:r>
          </w:p>
          <w:p>
            <w:pPr>
              <w:pStyle w:val="null3"/>
            </w:pPr>
            <w:r>
              <w:rPr>
                <w:rFonts w:ascii="仿宋_GB2312" w:hAnsi="仿宋_GB2312" w:cs="仿宋_GB2312" w:eastAsia="仿宋_GB2312"/>
              </w:rPr>
              <w:t>内 容：渭南市渗滤液处理厂扩容工程《土地勘测定界报告》及用地资料组卷报批并取得省政府批复文件；</w:t>
            </w:r>
          </w:p>
          <w:p>
            <w:pPr>
              <w:pStyle w:val="null3"/>
            </w:pPr>
            <w:r>
              <w:rPr>
                <w:rFonts w:ascii="仿宋_GB2312" w:hAnsi="仿宋_GB2312" w:cs="仿宋_GB2312" w:eastAsia="仿宋_GB2312"/>
              </w:rPr>
              <w:t>形 式：《土地勘测定界报告》纸质版3份，电子版1份。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满足项目实施要求，有针对本项目的专项服务小组，项目负责人、工作人员分工明确（应有具体成员名单，包括姓名、工作职责等）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1、服务内容 完成勘测定界报告（地类回退、面积分类表、国土空间规划图、现状图、三区三线图）、一书三方案、资料组卷报批，具备上报条件等内容并逐级上报最终取得省政府批复文件。 2、服务具体要求 提交对应工作成果，以省、市、区相关文件要求为准，同时满足采购人要求，所有技术标准以最新颁布的技术标准为准。 3、服务标准 （1）在服务范围内按工作内容和要求制定详细的方案，方案科学、合理、可靠。 （2）人员配备合理。有针对本项目的专项服务小组，项目负责人、工作人员分工明确（应有具体成员名单，包括姓名、工作职责等） （3）有各类突发事件的应急预案和措施，有明确具体的承诺。 （4）供应商所拟派的工作人员，若在服务期间发生任何伤害，采购人概不负责，由供应商自行处理。 4、服务质量 （1）符合国家相关行业规范、规程和有关技术规定； （2）成果文件及质量满足相关部门的规定。 5、成果形式 （1）内 容：渭南市渗滤液处理厂扩容工程《土地勘测定界报告》及用地资料组卷报批并取得省政府批复文件 （2）形 式：纸质版3份，电子版1份。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供应商完成服务内容，最终成果经采购人验收合格后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②税收缴纳证明：提供响应文件递交截止时间前一年内任意一个月的缴费凭据；依法免税的应提供相关文件证明； ③社会保障资金缴纳证明：提供响应文件递交截止时间前一年内任意一个月的社保缴费凭据或社保机构开具的社会保险参保缴费情况证明；依法不需要缴纳社会保障资金的供应商应提供相关文件证明；。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本项目专门面向中小企业采购，供应商应为中型、小型或微型企业，供应商提供中小企业声明函。本项目所属行业为：其他未列明行业。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服务期满足磋商文件规定</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供应商名称应与营业执照等证件相一致</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供应商能够在相关行业中提出科学、合理化的建议，提供一项得1分，最高得3分。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拟派项目负责人具备相关专业高级及以上职称得3分，具备相关专业中级职称得1.5分。 注：提供人员证书复印件，加盖单位鲜章，否则不得分。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1.项目组成人员（除项目负责人）分工明确、责任明确，结构合理，每增加一个人员得1分，最高得4分。 2.项目组成人员中（除项目负责人），每具有一个中级职称加1分,每具有一个高级职称加2分；本项最高得6分。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供应商具有近三年（2022年8月至今）的类似项目业绩，每提供1个业绩得1分，本项目最高得4分。（提供合同复印件加盖单位公章，以合同签订时间为准。）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供应商针对本项目制定的总体方案，包含①项目需求理解；②重点难点分析；③工作技术路线及方法；④项目目标； 评审标准： 1.完整性：内容完整、全面，思路清晰、分析透彻； 2.可实施性：切合本项目实际情况，步骤明确、可操作性强； 3.针对性：总体实施方案能够紧扣项目实际情况，专业性强、内容科学、合理。 赋分标准（满分20分）： ①每一项评审内容，完全满足评审标准得5分； ②针对每一项评审内容，若存在完整性不全面、可实施性不强、针对性不强等方面，扣2.5分；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供应商针对本项目制定的质量保障措施，包含①项目质量保障体系；②质量管控要求；③质量控制措施； 评审标准： 1.完整性：内容完整、全面，思路清晰、分析透彻； 2.可实施性：切合本项目实际情况，步骤明确、可操作性强； 3.针对性：能够紧扣项目实际情况，专业性强、内容科学、合理。 赋分标准（满分15分）： ①每一项评审内容完全满足评审标准得5分； ②针对每一项评审内容，若存在完整性不全面、可实施性不强、针对性不强等方面，扣2.5分；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供应商针对本项目制定的进度保障措施，包含①进度安排计划；②进度控制措施；③应急措施； 评审标准： 1.完整性：内容完整、全面，思路清晰、分析透彻； 2.可实施性：切合本项目实际情况，步骤明确、可操作性强； 3.针对性：能够紧扣项目实际情况，专业性强、内容科学、合理。 赋分标准（满分15分）： ①每一项评审内容完全满足评审标准得5分； ②针对每一项评审内容，若存在完整性不全面、可实施性不强、针对性不强等方面，扣2.5分；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供应商针对本项目制定的服务承诺，包含①项目成果完整合规的服务承诺；②保质保量完成的服务承诺及配合后续事宜的服务承诺。 评审标准： 1.完整性：内容完整、全面，思路清晰； 2.可实施性：切合本项目实际情况，步骤明确、可操作性强； 3.针对性：能够紧扣项目实际情况，专业性强、内容科学、合理。 赋分标准（满分10分）： ①每一项评审内容完全满足评审标准得5分； ②针对每一项评审内容，若存在完整性不全面、可实施性不强、针对性不强等方面，扣2.5分；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磋商报价得分=(磋商基准价／最终磋商报价)×20%×100。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详见附件：供应商其它资料.docx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