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版本号：XAJCZB-2025-070220250806001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已批未供地块控制性详细规划编制工作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XAJCZB-2025-0702</w:t>
      </w:r>
      <w:r>
        <w:br/>
      </w:r>
      <w:r>
        <w:br/>
      </w:r>
      <w:r>
        <w:br/>
      </w:r>
    </w:p>
    <w:p>
      <w:pPr>
        <w:pStyle w:val="null3"/>
        <w:jc w:val="center"/>
        <w:outlineLvl w:val="2"/>
      </w:pPr>
      <w:r>
        <w:rPr>
          <w:rFonts w:ascii="仿宋_GB2312" w:hAnsi="仿宋_GB2312" w:cs="仿宋_GB2312" w:eastAsia="仿宋_GB2312"/>
          <w:sz w:val="28"/>
          <w:b/>
        </w:rPr>
        <w:t>渭南市临渭区自然资源局</w:t>
      </w:r>
    </w:p>
    <w:p>
      <w:pPr>
        <w:pStyle w:val="null3"/>
        <w:jc w:val="center"/>
        <w:outlineLvl w:val="2"/>
      </w:pPr>
      <w:r>
        <w:rPr>
          <w:rFonts w:ascii="仿宋_GB2312" w:hAnsi="仿宋_GB2312" w:cs="仿宋_GB2312" w:eastAsia="仿宋_GB2312"/>
          <w:sz w:val="28"/>
          <w:b/>
        </w:rPr>
        <w:t>西安甲川工程咨询有限公司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西安甲川工程咨询有限公司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渭南市临渭区自然资源局</w:t>
      </w:r>
      <w:r>
        <w:rPr>
          <w:rFonts w:ascii="仿宋_GB2312" w:hAnsi="仿宋_GB2312" w:cs="仿宋_GB2312" w:eastAsia="仿宋_GB2312"/>
        </w:rPr>
        <w:t>委托，拟对</w:t>
      </w:r>
      <w:r>
        <w:rPr>
          <w:rFonts w:ascii="仿宋_GB2312" w:hAnsi="仿宋_GB2312" w:cs="仿宋_GB2312" w:eastAsia="仿宋_GB2312"/>
        </w:rPr>
        <w:t>已批未供地块控制性详细规划编制工作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XAJCZB-2025-0702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已批未供地块控制性详细规划编制工作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对已批未供地块控制性详细规划编制工作等相关服务进行采购，服务项目内容包括但不限于：资料收集、方案编制、数据库制作、方案优化、专家评审、成果报批。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采购包1（已批未供地块控制性详细规划编制工作）：属于专门面向中小企业采购。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1、营业执照：供应商具有独立承担民事责任能力的法人，提供合法有效的统一社会信用代码营业执照</w:t>
      </w:r>
    </w:p>
    <w:p>
      <w:pPr>
        <w:pStyle w:val="null3"/>
      </w:pPr>
      <w:r>
        <w:rPr>
          <w:rFonts w:ascii="仿宋_GB2312" w:hAnsi="仿宋_GB2312" w:cs="仿宋_GB2312" w:eastAsia="仿宋_GB2312"/>
        </w:rPr>
        <w:t>2、财务状况报告：提供2024年度的财务审计报告或开标前六个月内其基本存款账户开户银行出具的资信证明（附开户许可证或开户备案证明或基本账户信息）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3、税收缴纳证明：2025年1月至今已缴存的至少一个月的纳税证明或完税证明，依法免税的单位应提供相关证明材料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5、企业资质：供应商具备有效的城乡规划乙级（含）及以上资质</w:t>
      </w:r>
    </w:p>
    <w:p>
      <w:pPr>
        <w:pStyle w:val="null3"/>
      </w:pPr>
      <w:r>
        <w:rPr>
          <w:rFonts w:ascii="仿宋_GB2312" w:hAnsi="仿宋_GB2312" w:cs="仿宋_GB2312" w:eastAsia="仿宋_GB2312"/>
        </w:rPr>
        <w:t>6、授权委托书：供应商法定代表人直接参加投标的，须出具法人身份证明及身份证；法定代表人授权代表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7、信誉要求：供应商在递交响应文件截止时间前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 （磋商文件解密完成后查询相关信用记录，对列入失信被执行人、重大税收违法失信主体、政府采购严重违法失信行为记录名单，将拒绝其参与政府采购活动，查询结果以电子或纸质方式留存）。</w:t>
      </w:r>
    </w:p>
    <w:p>
      <w:pPr>
        <w:pStyle w:val="null3"/>
      </w:pPr>
      <w:r>
        <w:rPr>
          <w:rFonts w:ascii="仿宋_GB2312" w:hAnsi="仿宋_GB2312" w:cs="仿宋_GB2312" w:eastAsia="仿宋_GB2312"/>
        </w:rPr>
        <w:t>8、具有履行本项目所必需的设备和专业技术能力：供应商提供具有履行本项目所必需的设备和专业技术能力</w:t>
      </w:r>
    </w:p>
    <w:p>
      <w:pPr>
        <w:pStyle w:val="null3"/>
      </w:pPr>
      <w:r>
        <w:rPr>
          <w:rFonts w:ascii="仿宋_GB2312" w:hAnsi="仿宋_GB2312" w:cs="仿宋_GB2312" w:eastAsia="仿宋_GB2312"/>
        </w:rPr>
        <w:t>9、近3年无重大违法记录：供应商参加政府采购活动前3年内，在经营活动中没有重大违法记录的书面声明</w:t>
      </w:r>
    </w:p>
    <w:p>
      <w:pPr>
        <w:pStyle w:val="null3"/>
      </w:pPr>
      <w:r>
        <w:rPr>
          <w:rFonts w:ascii="仿宋_GB2312" w:hAnsi="仿宋_GB2312" w:cs="仿宋_GB2312" w:eastAsia="仿宋_GB2312"/>
        </w:rPr>
        <w:t>10、其他：供应商不得存在下列情形之一： (1)单位负责人为同一人或者存在直接控股、管理关系的不同供应商，不得参加本次采购活动；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11、不允许联合体磋商：非联合体磋商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渭南市东风街中段11号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8169153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西安甲川工程咨询有限公司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陕西省西安市未央区陕西省西安市沣东新城三桥街道紫境城25号楼一单元905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冯彩彩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13572452685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15829421695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采购包1：474,600.00元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①以中标价为基数，按原国家计委颁发的《招标代理服务收费管理暂行办法》（计价格[2002]1980号）和国家发展改革委员会办公厅颁发的《关于招标代理服务收费有关问题的通知》（发改办价格[2003] 857号）的有关规定标准下浮5%计取，不足8000元的按8000元计取。②成交人确定之日起2日内一次性全额支付。费用包含在投标报价中，无论计算与否，均视为已知。</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渭南市临渭区自然资源局</w:t>
      </w:r>
      <w:r>
        <w:rPr>
          <w:rFonts w:ascii="仿宋_GB2312" w:hAnsi="仿宋_GB2312" w:cs="仿宋_GB2312" w:eastAsia="仿宋_GB2312"/>
        </w:rPr>
        <w:t>和</w:t>
      </w:r>
      <w:r>
        <w:rPr>
          <w:rFonts w:ascii="仿宋_GB2312" w:hAnsi="仿宋_GB2312" w:cs="仿宋_GB2312" w:eastAsia="仿宋_GB2312"/>
        </w:rPr>
        <w:t>西安甲川工程咨询有限公司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西安甲川工程咨询有限公司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西安甲川工程咨询有限公司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1、本项目还需要达到以下验收要求：符合国家、省市相关法律、法规、标准、规范。 2、验收标准:按采购文件、响应文件及澄清函、项目检查情况等综合指标进行验收。各项指标均应符合验收标准及要求。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西安甲川工程咨询有限公司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西安甲川工程咨询有限公司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西安甲川工程咨询有限公司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联系人：冯彩彩</w:t>
      </w:r>
    </w:p>
    <w:p>
      <w:pPr>
        <w:pStyle w:val="null3"/>
      </w:pPr>
      <w:r>
        <w:rPr>
          <w:rFonts w:ascii="仿宋_GB2312" w:hAnsi="仿宋_GB2312" w:cs="仿宋_GB2312" w:eastAsia="仿宋_GB2312"/>
        </w:rPr>
        <w:t>联系电话：13572452685</w:t>
      </w:r>
    </w:p>
    <w:p>
      <w:pPr>
        <w:pStyle w:val="null3"/>
      </w:pPr>
      <w:r>
        <w:rPr>
          <w:rFonts w:ascii="仿宋_GB2312" w:hAnsi="仿宋_GB2312" w:cs="仿宋_GB2312" w:eastAsia="仿宋_GB2312"/>
        </w:rPr>
        <w:t>地址：陕西省西安市雁塔区二环南路成长大厦23层2314室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对已批未供地块控制性详细规划编制工作等相关服务进行采购，服务项目内容包括但不限于：资料收集、方案编制、数据库制作、方案优化、专家评审、成果报批。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474,600.00</w:t>
      </w:r>
    </w:p>
    <w:p>
      <w:pPr>
        <w:pStyle w:val="null3"/>
      </w:pPr>
      <w:r>
        <w:rPr>
          <w:rFonts w:ascii="仿宋_GB2312" w:hAnsi="仿宋_GB2312" w:cs="仿宋_GB2312" w:eastAsia="仿宋_GB2312"/>
        </w:rPr>
        <w:t>采购包最高限价（元）: 474,600.00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已批未供地块控制性详细规划编制工作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474,600.00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标的名称：已批未供地块控制性详细规划编制工作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一、服务内容</w:t>
            </w:r>
          </w:p>
          <w:p>
            <w:pPr>
              <w:pStyle w:val="null3"/>
              <w:ind w:firstLine="562"/>
              <w:jc w:val="both"/>
            </w:pPr>
            <w:r>
              <w:rPr>
                <w:rFonts w:ascii="仿宋_GB2312" w:hAnsi="仿宋_GB2312" w:cs="仿宋_GB2312" w:eastAsia="仿宋_GB2312"/>
                <w:sz w:val="28"/>
                <w:b/>
              </w:rPr>
              <w:t>（一）</w:t>
            </w:r>
            <w:r>
              <w:rPr>
                <w:rFonts w:ascii="仿宋_GB2312" w:hAnsi="仿宋_GB2312" w:cs="仿宋_GB2312" w:eastAsia="仿宋_GB2312"/>
                <w:sz w:val="28"/>
                <w:b/>
              </w:rPr>
              <w:t>基本要求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功能要求：</w:t>
            </w:r>
          </w:p>
          <w:p>
            <w:pPr>
              <w:pStyle w:val="null3"/>
              <w:ind w:firstLine="560"/>
              <w:jc w:val="both"/>
            </w:pPr>
            <w:r>
              <w:rPr>
                <w:rFonts w:ascii="仿宋_GB2312" w:hAnsi="仿宋_GB2312" w:cs="仿宋_GB2312" w:eastAsia="仿宋_GB2312"/>
                <w:sz w:val="28"/>
              </w:rPr>
              <w:t>本项目是贯彻落实国家</w:t>
            </w:r>
            <w:r>
              <w:rPr>
                <w:rFonts w:ascii="仿宋_GB2312" w:hAnsi="仿宋_GB2312" w:cs="仿宋_GB2312" w:eastAsia="仿宋_GB2312"/>
                <w:sz w:val="28"/>
              </w:rPr>
              <w:t>“多规合一”改革和陕西省节约集约用地政策的重要举措。规划通过精准识别和盘活批而未供土地，统筹优化空间布局与功能配置</w:t>
            </w:r>
            <w:r>
              <w:rPr>
                <w:rFonts w:ascii="仿宋_GB2312" w:hAnsi="仿宋_GB2312" w:cs="仿宋_GB2312" w:eastAsia="仿宋_GB2312"/>
                <w:sz w:val="28"/>
              </w:rPr>
              <w:t>,</w:t>
            </w:r>
            <w:r>
              <w:rPr>
                <w:rFonts w:ascii="仿宋_GB2312" w:hAnsi="仿宋_GB2312" w:cs="仿宋_GB2312" w:eastAsia="仿宋_GB2312"/>
                <w:sz w:val="28"/>
              </w:rPr>
              <w:t>推动存量土地向集约化绿色化转型，对提升本地区土地资源利用效率和综合价值，推动存量空间更新和土地复合利用，助力建设均衡、便利、韧性的城乡空间格局具有重要的作用。本项目是实施区域内国土空间用途管制和核发建设用地规划许可证、建设工程规划许可证、乡村建设规划许可证等城乡建设项目规划许可以及实施城乡开发建设、整治更新、保护修复活动的法定依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项目工作流程主要包括前期研究、编制及论证、报批公示、公布备案和动态更新。</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需执行的国家相关标准、行业标准、地方标准或者其他标准、规范标准</w:t>
            </w:r>
          </w:p>
          <w:p>
            <w:pPr>
              <w:pStyle w:val="null3"/>
              <w:ind w:firstLine="560"/>
              <w:jc w:val="both"/>
            </w:pPr>
            <w:r>
              <w:rPr>
                <w:rFonts w:ascii="仿宋_GB2312" w:hAnsi="仿宋_GB2312" w:cs="仿宋_GB2312" w:eastAsia="仿宋_GB2312"/>
                <w:sz w:val="28"/>
              </w:rPr>
              <w:t>满足国家的相关标准、行业标准或者其他标准、规范，执行所有现行的国家、行业标准、规范、规程中的强制性条款。</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服务指标的具体要求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服务项目内容：已批未供地块控制性详细规划编制工作包括：资料收集、方案编制、数据库制作、方案优化、专家评审、成果报批等内容。</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服务要求：符合国家的相关标准、行业标准或者其他标准、规范，成果并经渭南市临渭区人民政府审批通过。</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成交单位不得以任何借口拖延相关服务。</w:t>
            </w:r>
          </w:p>
          <w:p>
            <w:pPr>
              <w:pStyle w:val="null3"/>
              <w:ind w:firstLine="560"/>
              <w:jc w:val="both"/>
            </w:pPr>
            <w:r>
              <w:rPr>
                <w:rFonts w:ascii="仿宋_GB2312" w:hAnsi="仿宋_GB2312" w:cs="仿宋_GB2312" w:eastAsia="仿宋_GB2312"/>
                <w:sz w:val="28"/>
              </w:rPr>
              <w:t>（四）</w:t>
            </w:r>
            <w:r>
              <w:rPr>
                <w:rFonts w:ascii="仿宋_GB2312" w:hAnsi="仿宋_GB2312" w:cs="仿宋_GB2312" w:eastAsia="仿宋_GB2312"/>
                <w:sz w:val="28"/>
              </w:rPr>
              <w:t>拟投入本项目的预算</w:t>
            </w:r>
          </w:p>
          <w:p>
            <w:pPr>
              <w:pStyle w:val="null3"/>
              <w:ind w:firstLine="560"/>
              <w:jc w:val="both"/>
            </w:pPr>
            <w:r>
              <w:rPr>
                <w:rFonts w:ascii="仿宋_GB2312" w:hAnsi="仿宋_GB2312" w:cs="仿宋_GB2312" w:eastAsia="仿宋_GB2312"/>
                <w:sz w:val="28"/>
              </w:rPr>
              <w:t>本次采购预算</w:t>
            </w:r>
            <w:r>
              <w:rPr>
                <w:rFonts w:ascii="仿宋_GB2312" w:hAnsi="仿宋_GB2312" w:cs="仿宋_GB2312" w:eastAsia="仿宋_GB2312"/>
                <w:sz w:val="28"/>
              </w:rPr>
              <w:t>47.46</w:t>
            </w:r>
            <w:r>
              <w:rPr>
                <w:rFonts w:ascii="仿宋_GB2312" w:hAnsi="仿宋_GB2312" w:cs="仿宋_GB2312" w:eastAsia="仿宋_GB2312"/>
                <w:sz w:val="28"/>
              </w:rPr>
              <w:t>万元，</w:t>
            </w:r>
            <w:r>
              <w:rPr>
                <w:rFonts w:ascii="仿宋_GB2312" w:hAnsi="仿宋_GB2312" w:cs="仿宋_GB2312" w:eastAsia="仿宋_GB2312"/>
                <w:sz w:val="28"/>
              </w:rPr>
              <w:t>磋商报价不得超过本项目采购预算，报价</w:t>
            </w:r>
            <w:r>
              <w:rPr>
                <w:rFonts w:ascii="仿宋_GB2312" w:hAnsi="仿宋_GB2312" w:cs="仿宋_GB2312" w:eastAsia="仿宋_GB2312"/>
                <w:sz w:val="28"/>
              </w:rPr>
              <w:t>包含与本项目相关服务及履行合同义务有关的一切费用。</w:t>
            </w:r>
          </w:p>
          <w:p>
            <w:pPr>
              <w:pStyle w:val="null3"/>
              <w:jc w:val="both"/>
            </w:pPr>
            <w:r>
              <w:rPr>
                <w:rFonts w:ascii="仿宋_GB2312" w:hAnsi="仿宋_GB2312" w:cs="仿宋_GB2312" w:eastAsia="仿宋_GB2312"/>
                <w:sz w:val="28"/>
                <w:b/>
              </w:rPr>
              <w:t>二、商务要求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服务质量</w:t>
            </w:r>
            <w:r>
              <w:rPr>
                <w:rFonts w:ascii="仿宋_GB2312" w:hAnsi="仿宋_GB2312" w:cs="仿宋_GB2312" w:eastAsia="仿宋_GB2312"/>
                <w:sz w:val="28"/>
              </w:rPr>
              <w:t>：</w:t>
            </w:r>
            <w:r>
              <w:rPr>
                <w:rFonts w:ascii="仿宋_GB2312" w:hAnsi="仿宋_GB2312" w:cs="仿宋_GB2312" w:eastAsia="仿宋_GB2312"/>
                <w:sz w:val="28"/>
              </w:rPr>
              <w:t>满足国家的相关标准、行业标准或者其他标准、规范，执行所有现行的国家、行业标准、规范、规程中的强制性条款。</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服务期限：自合同签订之日起</w:t>
            </w:r>
            <w:r>
              <w:rPr>
                <w:rFonts w:ascii="仿宋_GB2312" w:hAnsi="仿宋_GB2312" w:cs="仿宋_GB2312" w:eastAsia="仿宋_GB2312"/>
                <w:sz w:val="28"/>
              </w:rPr>
              <w:t xml:space="preserve"> </w:t>
            </w:r>
            <w:r>
              <w:rPr>
                <w:rFonts w:ascii="仿宋_GB2312" w:hAnsi="仿宋_GB2312" w:cs="仿宋_GB2312" w:eastAsia="仿宋_GB2312"/>
                <w:sz w:val="28"/>
              </w:rPr>
              <w:t xml:space="preserve">180 </w:t>
            </w:r>
            <w:r>
              <w:rPr>
                <w:rFonts w:ascii="仿宋_GB2312" w:hAnsi="仿宋_GB2312" w:cs="仿宋_GB2312" w:eastAsia="仿宋_GB2312"/>
                <w:sz w:val="28"/>
              </w:rPr>
              <w:t>日历天</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服务地点：渭南市临渭区</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付款方式</w:t>
            </w:r>
          </w:p>
          <w:tbl>
            <w:tblPr>
              <w:tblBorders>
                <w:top w:val="none" w:color="000000" w:sz="4"/>
                <w:left w:val="none" w:color="000000" w:sz="4"/>
                <w:bottom w:val="none" w:color="000000" w:sz="4"/>
                <w:right w:val="none" w:color="000000" w:sz="4"/>
                <w:insideH w:val="none"/>
                <w:insideV w:val="none"/>
              </w:tblBorders>
            </w:tblPr>
            <w:tblGrid>
              <w:gridCol w:w="459"/>
              <w:gridCol w:w="1586"/>
              <w:gridCol w:w="502"/>
            </w:tblGrid>
            <w:tr>
              <w:tc>
                <w:tcPr>
                  <w:tcW w:type="dxa" w:w="4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支付次数</w:t>
                  </w:r>
                </w:p>
              </w:tc>
              <w:tc>
                <w:tcPr>
                  <w:tcW w:type="dxa" w:w="15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支付时间</w:t>
                  </w:r>
                </w:p>
              </w:tc>
              <w:tc>
                <w:tcPr>
                  <w:tcW w:type="dxa" w:w="5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支付比例</w:t>
                  </w:r>
                </w:p>
              </w:tc>
            </w:tr>
            <w:tr>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第一次付款</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合同签订后</w:t>
                  </w:r>
                </w:p>
              </w:tc>
              <w:tc>
                <w:tcPr>
                  <w:tcW w:type="dxa" w:w="5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合同价款的</w:t>
                  </w:r>
                  <w:r>
                    <w:rPr>
                      <w:rFonts w:ascii="仿宋_GB2312" w:hAnsi="仿宋_GB2312" w:cs="仿宋_GB2312" w:eastAsia="仿宋_GB2312"/>
                      <w:sz w:val="21"/>
                    </w:rPr>
                    <w:t>40%</w:t>
                  </w:r>
                </w:p>
              </w:tc>
            </w:tr>
            <w:tr>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第二次付款</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项目完成正式成果</w:t>
                  </w:r>
                </w:p>
              </w:tc>
              <w:tc>
                <w:tcPr>
                  <w:tcW w:type="dxa" w:w="5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合同价款的</w:t>
                  </w:r>
                  <w:r>
                    <w:rPr>
                      <w:rFonts w:ascii="仿宋_GB2312" w:hAnsi="仿宋_GB2312" w:cs="仿宋_GB2312" w:eastAsia="仿宋_GB2312"/>
                      <w:sz w:val="21"/>
                    </w:rPr>
                    <w:t>30%</w:t>
                  </w:r>
                </w:p>
              </w:tc>
            </w:tr>
            <w:tr>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第三次付款</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成果经行政部门审批，并向甲方提交全部规划设计成果</w:t>
                  </w:r>
                </w:p>
              </w:tc>
              <w:tc>
                <w:tcPr>
                  <w:tcW w:type="dxa" w:w="5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合同价款的</w:t>
                  </w:r>
                  <w:r>
                    <w:rPr>
                      <w:rFonts w:ascii="仿宋_GB2312" w:hAnsi="仿宋_GB2312" w:cs="仿宋_GB2312" w:eastAsia="仿宋_GB2312"/>
                      <w:sz w:val="21"/>
                    </w:rPr>
                    <w:t>30%</w:t>
                  </w:r>
                </w:p>
              </w:tc>
            </w:tr>
          </w:tbl>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验收标准</w:t>
            </w:r>
          </w:p>
          <w:p>
            <w:pPr>
              <w:pStyle w:val="null3"/>
              <w:ind w:firstLine="560"/>
              <w:jc w:val="both"/>
            </w:pPr>
            <w:r>
              <w:rPr>
                <w:rFonts w:ascii="仿宋_GB2312" w:hAnsi="仿宋_GB2312" w:cs="仿宋_GB2312" w:eastAsia="仿宋_GB2312"/>
                <w:sz w:val="28"/>
              </w:rPr>
              <w:t>5.1</w:t>
            </w:r>
            <w:r>
              <w:rPr>
                <w:rFonts w:ascii="仿宋_GB2312" w:hAnsi="仿宋_GB2312" w:cs="仿宋_GB2312" w:eastAsia="仿宋_GB2312"/>
                <w:sz w:val="28"/>
              </w:rPr>
              <w:t>本项目还需要达到以下验收要求：符合国家、省市相关法律、法规、标准、规范。</w:t>
            </w:r>
          </w:p>
          <w:p>
            <w:pPr>
              <w:pStyle w:val="null3"/>
              <w:ind w:firstLine="560"/>
              <w:jc w:val="both"/>
            </w:pPr>
            <w:r>
              <w:rPr>
                <w:rFonts w:ascii="仿宋_GB2312" w:hAnsi="仿宋_GB2312" w:cs="仿宋_GB2312" w:eastAsia="仿宋_GB2312"/>
                <w:sz w:val="28"/>
              </w:rPr>
              <w:t>5.2</w:t>
            </w:r>
            <w:r>
              <w:rPr>
                <w:rFonts w:ascii="仿宋_GB2312" w:hAnsi="仿宋_GB2312" w:cs="仿宋_GB2312" w:eastAsia="仿宋_GB2312"/>
                <w:sz w:val="28"/>
              </w:rPr>
              <w:t>验收标准</w:t>
            </w:r>
            <w:r>
              <w:rPr>
                <w:rFonts w:ascii="仿宋_GB2312" w:hAnsi="仿宋_GB2312" w:cs="仿宋_GB2312" w:eastAsia="仿宋_GB2312"/>
                <w:sz w:val="28"/>
              </w:rPr>
              <w:t>:</w:t>
            </w:r>
            <w:r>
              <w:rPr>
                <w:rFonts w:ascii="仿宋_GB2312" w:hAnsi="仿宋_GB2312" w:cs="仿宋_GB2312" w:eastAsia="仿宋_GB2312"/>
                <w:sz w:val="28"/>
              </w:rPr>
              <w:t>按采购文件、响应文件及澄清函、项目检查情况等综合指标进行验收。各项指标均应符合验收标准及要求。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团队成员≥3人，应具备丰富的规划工作经验和专业知识。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供应商应具备开展详细规划编制所需的设备和设施，包括但不限于数据处理软件、办公设备及交通工具等，确保能够高效、准确地完成各项工作任务。</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180 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1、本项目还需要达到以下验收要求：符合国家、省市相关法律、法规、标准、规范。 2、验收标准:按采购文件、响应文件及澄清函、项目检查情况等综合指标进行验收。各项指标均应符合验收标准及要求。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合同签订后，支付合同总金额的 40.00%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项目完成正式成果，支付合同总金额的30.00%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成果经行政部门审批，并向甲方提交全部规划设计成果后，支付合同总金额的 30.00%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1.磋商小组： （1）依法从省财政厅专家库中随机抽取相关专业专家2名，与1名采购人代表组成3人磋商小组。 （2）磋商小组推荐一名专家担任组长。 2.本项目所属行业：其他未列明行业。中小企业划型标准（1）从业人员≥300人，为大型企业；（2）100人≤从业人员＜300人，为中型企业；（3）10人≤从业人员＜100人，为小型企业；（4）从业人员＜10人以下，为微型企业。3.线上文件编制：供应商编制文件时，应首先按磋商文件给定的目录、顺序、内容及格式进行编制，其次供应商可根据其响应实际情况，在磋商文件给定的目录下增设多级子目录或其他新目录，内容对应准确，页码清晰。 3.磋商评审结束后3个工作日内，成交供应商应提供纸质版响应文件三本（须胶装），送至代理机构存档备案。线下纸质版文件应与线上电子文件内容及格式保持一致。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附件--资格.docx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附件--资格.docx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供应商具有独立承担民事责任能力的法人，提供合法有效的统一社会信用代码营业执照</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供应商具备有效的城乡规划乙级（含）及以上资质</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法定代表人直接参加投标的，须出具法人身份证明及身份证；法定代表人授权代表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 （磋商文件解密完成后查询相关信用记录，对列入失信被执行人、重大税收违法失信主体、政府采购严重违法失信行为记录名单，将拒绝其参与政府采购活动，查询结果以电子或纸质方式留存）。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具有履行本项目所必需的设备和专业技术能力</w:t>
            </w:r>
          </w:p>
        </w:tc>
        <w:tc>
          <w:tcPr>
            <w:tcW w:type="dxa" w:w="3322"/>
          </w:tcPr>
          <w:p>
            <w:pPr>
              <w:pStyle w:val="null3"/>
            </w:pPr>
            <w:r>
              <w:rPr>
                <w:rFonts w:ascii="仿宋_GB2312" w:hAnsi="仿宋_GB2312" w:cs="仿宋_GB2312" w:eastAsia="仿宋_GB2312"/>
              </w:rPr>
              <w:t>供应商提供具有履行本项目所必需的设备和专业技术能力</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近3年无重大违法记录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 附件--资格.docx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不允许联合体磋商</w:t>
            </w:r>
          </w:p>
        </w:tc>
        <w:tc>
          <w:tcPr>
            <w:tcW w:type="dxa" w:w="3322"/>
          </w:tcPr>
          <w:p>
            <w:pPr>
              <w:pStyle w:val="null3"/>
            </w:pPr>
            <w:r>
              <w:rPr>
                <w:rFonts w:ascii="仿宋_GB2312" w:hAnsi="仿宋_GB2312" w:cs="仿宋_GB2312" w:eastAsia="仿宋_GB2312"/>
              </w:rPr>
              <w:t>非联合体磋商</w:t>
            </w:r>
          </w:p>
        </w:tc>
        <w:tc>
          <w:tcPr>
            <w:tcW w:type="dxa" w:w="1661"/>
          </w:tcPr>
          <w:p>
            <w:pPr>
              <w:pStyle w:val="null3"/>
            </w:pPr>
            <w:r>
              <w:rPr>
                <w:rFonts w:ascii="仿宋_GB2312" w:hAnsi="仿宋_GB2312" w:cs="仿宋_GB2312" w:eastAsia="仿宋_GB2312"/>
              </w:rPr>
              <w:t>供应商应提交的相关资格证明材料 附件--资格.docx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附件--资格.docx 响应文件封面 残疾人福利性单位声明函 服务方案 标的清单 响应函 监狱企业的证明文件 附件--服务方案.docx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磋商首次报价</w:t>
            </w:r>
          </w:p>
        </w:tc>
        <w:tc>
          <w:tcPr>
            <w:tcW w:type="dxa" w:w="3322"/>
          </w:tcPr>
          <w:p>
            <w:pPr>
              <w:pStyle w:val="null3"/>
            </w:pPr>
            <w:r>
              <w:rPr>
                <w:rFonts w:ascii="仿宋_GB2312" w:hAnsi="仿宋_GB2312" w:cs="仿宋_GB2312" w:eastAsia="仿宋_GB2312"/>
              </w:rPr>
              <w:t>磋商总报价唯一且未超过项目预算474600.00元。</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提交首次响应文件截止之日起90日历日。</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服务内容数量与要求符合磋商文件要求或响应内容的技术指标应符合磋商文件标记★要求</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若出现成交候选人并列情形，则依次以磋商最后报价（由低至高）、技术得分（由高到低）确定推荐。最低报价不是成交的唯一条件。</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针对本项目制定详细的整体服务方案，包含①资料收集；②方案编制；③数据库制作；④方案优化；⑤专家评审；⑥成果报批。 二、评审标准 1.完整性：方案必须全面，对评审内容中的各项要求有详细描述； 2.合理性：切合项目具体情况，提出责任明确、要求具体的方案； 3.针对性：方案能够紧扣项目实际情况，内容科学合理。 三、赋分依据 ①资料收集：每完全满足一个评审标准得1分，满分3分；未提供不得分； ②方案编制：每完全满足一个评审标准得1分，满分3分；未提供不得分； ③数据库制作：每完全满足一个评审标准得1分，满分3分；未提供不得分； ④方案优化：每完全满足一个评审标准得1分，满分3分；未提供不得分； ⑤专家评审：每完全满足一个评审标准得1分，满分3分；未提供不得分； ⑥成果报批：每完全满足一个评审标准得1分，满分3分；未提供不得分；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附件--服务方案.docx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针对本项目制定详细的进度计划，包含①进度计划安排；②工作方法和工作流程； 二、评审标准 1.完整性：方案必须全面，对评审内容中的各项要求有详细描述； 2.合理性：切合项目具体情况，提出责任明确、要求具体的方案； 3.针对性：方案能够紧扣项目实际情况，内容科学合理。 三、赋分依据 ①进度计划安排：每完全满足一个评审标准得1分，满分3分；未提供不得分； ②工作方法和工作流程：每完全满足一个评审标准得1分，满分3分；未提供不得分；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一、评审内容 针对本项目制定详细的服务保证措施，包含①健全的组织管理制度；②人员奖惩考核制度；③审核流程制度；④资料管理保障措施；⑤安全、保密保障措施；⑥合理化建议。 二、评审标准 1.完整性：方案必须全面，对评审内容中的各项要求有详细描述； 2.合理性：切合项目具体情况，提出责任明确、要求具体的方案； 3.针对性：方案能够紧扣项目实际情况，内容科学合理。 三、赋分依据 ①健全的组织管理制度；：每完全满足一个评审标准得1分，满分3分；未提供不得分； ②人员奖惩考核制度：每完全满足一个评审标准得1分，满分3分；未提供不得分； ③审核流程制度：每完全满足一个评审标准得1分，满分3分；未提供不得分； ④资料管理保障措施：每完全满足一个评审标准得1分，满分3分；未提供不得分； ⑤安全、保密保障措施：每完全满足一个评审标准得1分，满分3分；未提供不得分； ⑥合理化建议：每完全满足一个评审标准得1分，满分3分；未提供不得分；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风险管理</w:t>
            </w:r>
          </w:p>
        </w:tc>
        <w:tc>
          <w:tcPr>
            <w:tcW w:type="dxa" w:w="2492"/>
          </w:tcPr>
          <w:p>
            <w:pPr>
              <w:pStyle w:val="null3"/>
            </w:pPr>
            <w:r>
              <w:rPr>
                <w:rFonts w:ascii="仿宋_GB2312" w:hAnsi="仿宋_GB2312" w:cs="仿宋_GB2312" w:eastAsia="仿宋_GB2312"/>
              </w:rPr>
              <w:t>一、评审内容 针对本项目编制或规划实施对环境可能造成的不确定因素、突发事件等制定详细预案，包含①风险点分析；②风险预防及控制。 二、评审标准 1.完整性：方案必须全面，对评审内容中的各项要求有详细描述； 2.合理性：切合项目具体情况，提出责任明确、要求具体的方案； 3.针对性：方案能够紧扣项目实际情况，内容科学合理。 三、赋分依据 ①风险点分析：每完全满足一个评审标准得1.5分，满分4.5分；未提供不得分； ②风险预防及控制：每完全满足一个评审标准得1.5分，满分4.5分；未提供不得分；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售后服务保障措施</w:t>
            </w:r>
          </w:p>
        </w:tc>
        <w:tc>
          <w:tcPr>
            <w:tcW w:type="dxa" w:w="2492"/>
          </w:tcPr>
          <w:p>
            <w:pPr>
              <w:pStyle w:val="null3"/>
            </w:pPr>
            <w:r>
              <w:rPr>
                <w:rFonts w:ascii="仿宋_GB2312" w:hAnsi="仿宋_GB2312" w:cs="仿宋_GB2312" w:eastAsia="仿宋_GB2312"/>
              </w:rPr>
              <w:t>一、评审内容 针对本项目的采购内容、合同条款、服务期限、人员到位情况，作出售后服务保障措施并提供实质性承诺。 二、评审标准 1.完整性：方案必须全面，对评审内容中的各项要求有详细描述； 2.合理性：切合项目具体情况，提出责任明确、要求具体的方案；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一、拟投入的主要设施设备，可满足本项目需求。 二、评审标准 ①配备合理性：设备配备合理满足采购人要求； ②专业性：切合项目具体情况，能更好的协助本项目顺利进行 三、赋分依据 ①设施设备配备合理：每完全满足一个评审标准得3分，未提供不得分； ②设备专业性：每完全满足一个评审标准得3分，未提供的不得分。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1.拟投入本项目负责人具有注册城乡规划师职业资格证书或城乡规划类中级职称以上得3分。 2.项目团队主要成员中（不包含项目负责人），另外每配备一名高级职称的人员得 2 分，中级职称的人员得 1 分，满分 7 分。（附相应职称证书复印件并加盖供应商公章作为证明材料，不重复累计）。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至今类似业绩，提供相关合同，1份得5分，最高10分，未提供或不符合要求得0分。时间以合同签订时间为准。要求：至少包含合同主页（能证明合同服务标的内容）、双方签字盖章页等，并在合同每页加盖供应商公章。若无法辨别，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 （1）磋商基准价=最低的磋商最后报价，其价格分为 20分。（2）报价得分=磋商基准价/磋商最后报价×20。 （3）四舍五入，取小数点后两位，不计负分。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详见附件：附件--资格.docx</w:t>
      </w:r>
    </w:p>
    <w:p>
      <w:pPr>
        <w:pStyle w:val="null3"/>
        <w:ind w:firstLine="960"/>
      </w:pPr>
      <w:r>
        <w:rPr>
          <w:rFonts w:ascii="仿宋_GB2312" w:hAnsi="仿宋_GB2312" w:cs="仿宋_GB2312" w:eastAsia="仿宋_GB2312"/>
        </w:rPr>
        <w:t>详见附件：附件--服务方案.docx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