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版本号：HWZBDL-2025-01420250806001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渭南市杜桥中学餐厅劳务服务项目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HWZBDL-2025-014</w:t>
      </w:r>
      <w:r>
        <w:br/>
      </w:r>
      <w:r>
        <w:br/>
      </w:r>
      <w:r>
        <w:br/>
      </w:r>
    </w:p>
    <w:p>
      <w:pPr>
        <w:pStyle w:val="null3"/>
        <w:jc w:val="center"/>
        <w:outlineLvl w:val="2"/>
      </w:pPr>
      <w:r>
        <w:rPr>
          <w:rFonts w:ascii="仿宋_GB2312" w:hAnsi="仿宋_GB2312" w:cs="仿宋_GB2312" w:eastAsia="仿宋_GB2312"/>
          <w:sz w:val="28"/>
          <w:b/>
        </w:rPr>
        <w:t>渭南市临渭区杜桥中学</w:t>
      </w:r>
    </w:p>
    <w:p>
      <w:pPr>
        <w:pStyle w:val="null3"/>
        <w:jc w:val="center"/>
        <w:outlineLvl w:val="2"/>
      </w:pPr>
      <w:r>
        <w:rPr>
          <w:rFonts w:ascii="仿宋_GB2312" w:hAnsi="仿宋_GB2312" w:cs="仿宋_GB2312" w:eastAsia="仿宋_GB2312"/>
          <w:sz w:val="28"/>
          <w:b/>
        </w:rPr>
        <w:t>华文项目管理有限公司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华文项目管理有限公司</w:t>
      </w:r>
      <w:r>
        <w:rPr>
          <w:rFonts w:ascii="仿宋_GB2312" w:hAnsi="仿宋_GB2312" w:cs="仿宋_GB2312" w:eastAsia="仿宋_GB2312"/>
        </w:rPr>
        <w:t>（以下简称“代理机构”）受</w:t>
      </w:r>
      <w:r>
        <w:rPr>
          <w:rFonts w:ascii="仿宋_GB2312" w:hAnsi="仿宋_GB2312" w:cs="仿宋_GB2312" w:eastAsia="仿宋_GB2312"/>
        </w:rPr>
        <w:t>渭南市临渭区杜桥中学</w:t>
      </w:r>
      <w:r>
        <w:rPr>
          <w:rFonts w:ascii="仿宋_GB2312" w:hAnsi="仿宋_GB2312" w:cs="仿宋_GB2312" w:eastAsia="仿宋_GB2312"/>
        </w:rPr>
        <w:t>委托，拟对</w:t>
      </w:r>
      <w:r>
        <w:rPr>
          <w:rFonts w:ascii="仿宋_GB2312" w:hAnsi="仿宋_GB2312" w:cs="仿宋_GB2312" w:eastAsia="仿宋_GB2312"/>
        </w:rPr>
        <w:t>渭南市杜桥中学餐厅劳务服务项目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HWZBDL-2025-014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渭南市杜桥中学餐厅劳务服务项目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渭南市杜桥中学餐厅劳务服务项目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采购包1（渭南市杜桥中学餐厅劳务服务项目）：属于专门面向中小企业采购。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1、法定代表人或其授权代表：法定代表人直接参加投标的，须出具法定代表人身份证明书；法定代表人授权代表参加投标的，须出具法定代表人授权委托书。</w:t>
      </w:r>
    </w:p>
    <w:p>
      <w:pPr>
        <w:pStyle w:val="null3"/>
      </w:pPr>
      <w:r>
        <w:rPr>
          <w:rFonts w:ascii="仿宋_GB2312" w:hAnsi="仿宋_GB2312" w:cs="仿宋_GB2312" w:eastAsia="仿宋_GB2312"/>
        </w:rPr>
        <w:t>2、资质：供应商须提供有效的《食品经营许可证》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渭南市临渭区杜桥中学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渭南市临渭区渭北路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0913-2072302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陕西省西安市未央区陕西省西安市凤城十二路北侧文景路西侧富尔顿国际财富中心C座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029-65693331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开户名称：华文项目管理有限公司</w:t>
            </w:r>
          </w:p>
          <w:p>
            <w:pPr>
              <w:pStyle w:val="null3"/>
            </w:pPr>
            <w:r>
              <w:rPr>
                <w:rFonts w:ascii="仿宋_GB2312" w:hAnsi="仿宋_GB2312" w:cs="仿宋_GB2312" w:eastAsia="仿宋_GB2312"/>
              </w:rPr>
              <w:t>开户银行：中国建设银行股份有限公司西安海璟国际支行</w:t>
            </w:r>
          </w:p>
          <w:p>
            <w:pPr>
              <w:pStyle w:val="null3"/>
            </w:pPr>
            <w:r>
              <w:rPr>
                <w:rFonts w:ascii="仿宋_GB2312" w:hAnsi="仿宋_GB2312" w:cs="仿宋_GB2312" w:eastAsia="仿宋_GB2312"/>
              </w:rPr>
              <w:t>银行账号：6105 0174 8600 0000 0780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的标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渭南市临渭区杜桥中学</w:t>
      </w:r>
      <w:r>
        <w:rPr>
          <w:rFonts w:ascii="仿宋_GB2312" w:hAnsi="仿宋_GB2312" w:cs="仿宋_GB2312" w:eastAsia="仿宋_GB2312"/>
        </w:rPr>
        <w:t>和</w:t>
      </w:r>
      <w:r>
        <w:rPr>
          <w:rFonts w:ascii="仿宋_GB2312" w:hAnsi="仿宋_GB2312" w:cs="仿宋_GB2312" w:eastAsia="仿宋_GB2312"/>
        </w:rPr>
        <w:t>华文项目管理有限公司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渭南市临渭区杜桥中学</w:t>
      </w:r>
      <w:r>
        <w:rPr>
          <w:rFonts w:ascii="仿宋_GB2312" w:hAnsi="仿宋_GB2312" w:cs="仿宋_GB2312" w:eastAsia="仿宋_GB2312"/>
        </w:rPr>
        <w:t>负责解释。除上述招标文件内容，其他内容由</w:t>
      </w:r>
      <w:r>
        <w:rPr>
          <w:rFonts w:ascii="仿宋_GB2312" w:hAnsi="仿宋_GB2312" w:cs="仿宋_GB2312" w:eastAsia="仿宋_GB2312"/>
        </w:rPr>
        <w:t>华文项目管理有限公司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渭南市临渭区杜桥中学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联系人：许工</w:t>
      </w:r>
    </w:p>
    <w:p>
      <w:pPr>
        <w:pStyle w:val="null3"/>
      </w:pPr>
      <w:r>
        <w:rPr>
          <w:rFonts w:ascii="仿宋_GB2312" w:hAnsi="仿宋_GB2312" w:cs="仿宋_GB2312" w:eastAsia="仿宋_GB2312"/>
        </w:rPr>
        <w:t>联系电话：02965693331</w:t>
      </w:r>
    </w:p>
    <w:p>
      <w:pPr>
        <w:pStyle w:val="null3"/>
      </w:pPr>
      <w:r>
        <w:rPr>
          <w:rFonts w:ascii="仿宋_GB2312" w:hAnsi="仿宋_GB2312" w:cs="仿宋_GB2312" w:eastAsia="仿宋_GB2312"/>
        </w:rPr>
        <w:t>地址：陕西省西安市经济技术开发区凤城十二路北侧文景路西侧富尔顿国际财富中心C座1503</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渭南市杜桥中学餐厅劳务服务项目，</w:t>
      </w:r>
      <w:r>
        <w:rPr>
          <w:rFonts w:ascii="仿宋_GB2312" w:hAnsi="仿宋_GB2312" w:cs="仿宋_GB2312" w:eastAsia="仿宋_GB2312"/>
        </w:rPr>
        <w:t>学校共有学生约2900人</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2,050,000.00</w:t>
      </w:r>
    </w:p>
    <w:p>
      <w:pPr>
        <w:pStyle w:val="null3"/>
      </w:pPr>
      <w:r>
        <w:rPr>
          <w:rFonts w:ascii="仿宋_GB2312" w:hAnsi="仿宋_GB2312" w:cs="仿宋_GB2312" w:eastAsia="仿宋_GB2312"/>
        </w:rPr>
        <w:t>采购包最高限价（元）: 2,050,000.00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渭南市杜桥中学餐厅劳务服务项目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标的名称：渭南市杜桥中学餐厅劳务服务项目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提供学校学生食堂的人力资源服务，包括但不限于验收食材、出入库、粗加工、切配、烹饪、分餐、配餐、清洗消毒、环境卫生、食品留样、资质查验、加工记录及资料整理等。</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1.供应商购买校园食品安全责任保险。 2.乙方所有人员年龄在60岁以下，需提供无犯罪记录证明、办理健康证。 3.能够自觉遵守国家法律法规，胜任岗位工作，能够遵守学校各项制度及工作规范，达到学校考核体系合格及以上标准。 4.乙方必须服从学校安排管理，严格落实食品安全“十统一、六到位”规范标准，按照学校要求为师生供餐。 5.乙方应按照食堂后厨需要安排足够的工作人员，避免人员不足影响供餐质量和供餐时间。 6.乙方对食堂食品安全、环境卫生、员工人身安全负总责，如遇相关职能部门在检查过程中发现的食堂管理、食品安全、操作记录、台账建立等问题由乙方负责，处罚由乙方承担。 7.乙方负责学校食堂所有的劳务工作。包括饭菜加工、食堂卫生、餐厨具清洗消毒、留样、送餐、分餐等工作。 8.乙方在加工食品时，应以食堂加工为主，不得购买成品或半成品（包括：馒头和面条等）。 9.乙方必须建立规范的公司章程制度，按照食品安全标准及餐饮公司管理标准进行餐厅管理，制定并严格执行人员管理、餐厅卫生、食品安全、清洗消毒、食品留样、操作流程等制度；制定各种安全生产的方案、应急预案、应急演练方案等，对食品加工过程的操作规范和安全负总责。 10.严格执行上级部门或学校制定的餐厅管理规定，乙方在服务过程中因未能严格执行相关制度和规定造成食品不安全事件发生或者职能部门处罚的由乙方全部负责。 11.自行购置餐厅运行所需的办公、清洁等低值易耗零星物品。 12.自聘餐厅工作人员，按时发放所聘人员工资，缴纳所聘人员工伤保险和国家规定的相关费用，教育其严格遵守食品安全管理要求及学校其他有关规定。 13.乙方须对聘用人员进行岗前培训，增强员工食品安全意识，确保每个员工能熟练掌握操作技能。 14.乙方必须按照食谱为学生供餐，所供食物要安全、卫生、可靠，保证所有学生有饭吃，吃饱饭，杜绝浪费现象发生。 15.餐厅及后厨加工区域环境卫生保持干净、整洁，做到餐冲、日洗和天和每周大清洗要求，并对餐厅周边环境卫生负责，按照法规要求回收处理餐厨垃圾。 16.按规定时间准备饭菜，不得拖延；如遇特殊情况需延迟应及时通知甲方，无故拖延开饭时间甲方有权利进行处罚，每学期三次以上，甲方有权解除合同。 17.乙方的工作人员须遵守学校各项规章制度，未经批准不得随意出入教学区，若违反，甲方有权处理。 18.乙方应爱护学校所购置的设施设备，要及时维护和保养，不得人为损坏，否则照价赔偿。 19.自觉服从甲方管理，无条件接受并配合甲方的检查、观摩和参观活动。 20.及时到相关部门更新食品经营许可证、员工健康证等相关证件。 21.及时与甲方签订食品安全责任书。 22.乙方对所聘员工完全负责，甲方和乙方员工之间不存在劳动关系。工作期间产生的工伤及其它劳务纠纷等由乙方妥善解决，与甲方无关。</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1、本项目报价方式为下浮率，基准价为按月收取学生伙食费、教职工伙食费总和的24%。 2、结算价计算方式：按月结算；按月收取学生伙食费、教职工伙食费总和的24%*（1-下浮率） 注：如下浮率为10%，最终结算金额=收取学生伙食费、教职工伙食费总和的22%*（1-10%） 3、成交单位在中标(成交)结果公告结束后3个工作日内向采购代理机构提供纸质版投标文件正 本一份，副本三份，电子U盘一份(投标文件内容与电子版一致)。</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自合同签订之日起一年（服务期满后，乙方服务合格，同等条件下，经双方协商可续签二年）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渭南市杜桥中学</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采购人按照政府采购合同约定的服务标准组织对投标人的履约情况进行验收，并出具验收报告。</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按月支付，以乙方提供服务满自然月，经甲方综合评定服务标准达到合格及以上标准，每月5日之前餐饮公司提出申请，由学校食堂管理员申报、后勤财务处审核，经校长审签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（1）供应商若中途停止供餐或因违反食品安全要求及学校有关规定给学校及师生造成损失,供应商应付相应法律责任及全部经济责任。 （2）供应商在合同期间不履职尽责，不接受采购人管理;对上级部门在检查过程中指出的问题不及时整改，被行政处罚;发生食品安全事故等，采购人有权终止合同。 （3）合同期满后,供应商应负责将采购人所有资产完好交还甲方,否则采购人将按资产的实际损失收取修理费或赔偿费。 （4）供应商逾期无法办理从业人员健康证,采购人有权责令供应商整改。因供应商不具备上述证件而使采购人被相关部门处罚,供应商应负赔偿责任。 （5）若供应商违反合同中任一条款,采购人将有权责令其限期整改,整改不到位的，终止合同。 （6）若供应商将经营权转包给他人经营的,采购人有权中止合同。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1、本项目报价方式为下浮率，基准价为按月收取学生伙食费、教职工伙食费总和的24%。 2、结算价计算方式：按月结算；按月收取学生伙食费、教职工伙食费总和的24%*（1-下浮率） 注：如下浮率为10%，最终结算金额=收取学生伙食费、教职工伙食费总和的24%*（1-10%） 3、成交单位在中标(成交)结果公告结束后3个工作日内向采购代理机构提供纸质版投标文件正 本一份，副本三份，电子U盘一份(投标文件内容与电子版一致)。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完整的2024年度的财务报告（成立时间至投标文件递交截止时间不足一年的可提供成立后任意时段的资产负债表、利润表、现金流量表）或投标文件递交截止时间前六个月内其基本开户银行出具的资信证明或担保函；注：根据“【财办2022】32号”的规定，2022年后出具的审计报告须在注册会计师行业统一监管平台http://acc.mof.gov.cn/qrcapp/search.htmltimestamp=1709602157914)进行自动赋码验证，未赋码的视为审计报告无效。</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供应商需在项目电子化交易系统中按要求填写《投标函》及《供应商企业关系关联承诺书》完成承诺并进行电子签章。</w:t>
            </w:r>
          </w:p>
        </w:tc>
        <w:tc>
          <w:tcPr>
            <w:tcW w:type="dxa" w:w="1661"/>
          </w:tcPr>
          <w:p>
            <w:pPr>
              <w:pStyle w:val="null3"/>
            </w:pPr>
            <w:r>
              <w:rPr>
                <w:rFonts w:ascii="仿宋_GB2312" w:hAnsi="仿宋_GB2312" w:cs="仿宋_GB2312" w:eastAsia="仿宋_GB2312"/>
              </w:rPr>
              <w:t>投标函 资格证明文件部分格式.docx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营业执照等主体证明文件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 xml:space="preserve"> 税收缴纳证明</w:t>
            </w:r>
          </w:p>
        </w:tc>
        <w:tc>
          <w:tcPr>
            <w:tcW w:type="dxa" w:w="3322"/>
          </w:tcPr>
          <w:p>
            <w:pPr>
              <w:pStyle w:val="null3"/>
            </w:pPr>
            <w:r>
              <w:rPr>
                <w:rFonts w:ascii="仿宋_GB2312" w:hAnsi="仿宋_GB2312" w:cs="仿宋_GB2312" w:eastAsia="仿宋_GB2312"/>
              </w:rPr>
              <w:t>提供2025年1月至今（税款所属日期）已缴纳的至少一个月的纳税证明或完税证明（任意税种），依法免税的单位应提供相关证明材料。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提供2025年1月至今已缴存的至少一个月的社会保障资金缴存凭证或社保机构开具的社会保险参保证明，依法不需要缴纳社会保障资金的单位应提供相关证明材料。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承诺声明</w:t>
            </w:r>
          </w:p>
        </w:tc>
        <w:tc>
          <w:tcPr>
            <w:tcW w:type="dxa" w:w="3322"/>
          </w:tcPr>
          <w:p>
            <w:pPr>
              <w:pStyle w:val="null3"/>
            </w:pPr>
            <w:r>
              <w:rPr>
                <w:rFonts w:ascii="仿宋_GB2312" w:hAnsi="仿宋_GB2312" w:cs="仿宋_GB2312" w:eastAsia="仿宋_GB2312"/>
              </w:rPr>
              <w:t>提供具有履行合同所必需的设备和专业技术能力的承诺声明。</w:t>
            </w:r>
          </w:p>
        </w:tc>
        <w:tc>
          <w:tcPr>
            <w:tcW w:type="dxa" w:w="1661"/>
          </w:tcPr>
          <w:p>
            <w:pPr>
              <w:pStyle w:val="null3"/>
            </w:pPr>
            <w:r>
              <w:rPr>
                <w:rFonts w:ascii="仿宋_GB2312" w:hAnsi="仿宋_GB2312" w:cs="仿宋_GB2312" w:eastAsia="仿宋_GB2312"/>
              </w:rPr>
              <w:t>资格证明文件部分格式.docx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资格证明文件部分格式.docx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法定代表人或其授权代表</w:t>
            </w:r>
          </w:p>
        </w:tc>
        <w:tc>
          <w:tcPr>
            <w:tcW w:type="dxa" w:w="3322"/>
          </w:tcPr>
          <w:p>
            <w:pPr>
              <w:pStyle w:val="null3"/>
            </w:pPr>
            <w:r>
              <w:rPr>
                <w:rFonts w:ascii="仿宋_GB2312" w:hAnsi="仿宋_GB2312" w:cs="仿宋_GB2312" w:eastAsia="仿宋_GB2312"/>
              </w:rPr>
              <w:t>法定代表人直接参加投标的，须出具法定代表人身份证明书；法定代表人授权代表参加投标的，须出具法定代表人授权委托书。</w:t>
            </w:r>
          </w:p>
        </w:tc>
        <w:tc>
          <w:tcPr>
            <w:tcW w:type="dxa" w:w="1661"/>
          </w:tcPr>
          <w:p>
            <w:pPr>
              <w:pStyle w:val="null3"/>
            </w:pPr>
            <w:r>
              <w:rPr>
                <w:rFonts w:ascii="仿宋_GB2312" w:hAnsi="仿宋_GB2312" w:cs="仿宋_GB2312" w:eastAsia="仿宋_GB2312"/>
              </w:rPr>
              <w:t>资格证明文件部分格式.docx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供应商须提供有效的《食品经营许可证》</w:t>
            </w:r>
          </w:p>
        </w:tc>
        <w:tc>
          <w:tcPr>
            <w:tcW w:type="dxa" w:w="1661"/>
          </w:tcPr>
          <w:p>
            <w:pPr>
              <w:pStyle w:val="null3"/>
            </w:pPr>
            <w:r>
              <w:rPr>
                <w:rFonts w:ascii="仿宋_GB2312" w:hAnsi="仿宋_GB2312" w:cs="仿宋_GB2312" w:eastAsia="仿宋_GB2312"/>
              </w:rPr>
              <w:t>资格证明文件部分格式.docx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投标文件的签字盖章</w:t>
            </w:r>
          </w:p>
        </w:tc>
        <w:tc>
          <w:tcPr>
            <w:tcW w:type="dxa" w:w="3322"/>
          </w:tcPr>
          <w:p>
            <w:pPr>
              <w:pStyle w:val="null3"/>
            </w:pPr>
            <w:r>
              <w:rPr>
                <w:rFonts w:ascii="仿宋_GB2312" w:hAnsi="仿宋_GB2312" w:cs="仿宋_GB2312" w:eastAsia="仿宋_GB2312"/>
              </w:rPr>
              <w:t>投标文件的签字盖章符合采购文件要求</w:t>
            </w:r>
          </w:p>
        </w:tc>
        <w:tc>
          <w:tcPr>
            <w:tcW w:type="dxa" w:w="1661"/>
          </w:tcPr>
          <w:p>
            <w:pPr>
              <w:pStyle w:val="null3"/>
            </w:pPr>
            <w:r>
              <w:rPr>
                <w:rFonts w:ascii="仿宋_GB2312" w:hAnsi="仿宋_GB2312" w:cs="仿宋_GB2312" w:eastAsia="仿宋_GB2312"/>
              </w:rPr>
              <w:t>开标一览表 服务内容及服务邀请应答表 中小企业声明函 商务应答表 其他相关资料.docx 投标人应提交的相关资格证明材料 投标函 残疾人福利性单位声明函 资格证明文件部分格式.docx 服务方案 标的清单 投标文件封面 响应报价表.docx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报价未超过预算和最高限价。</w:t>
            </w:r>
          </w:p>
        </w:tc>
        <w:tc>
          <w:tcPr>
            <w:tcW w:type="dxa" w:w="1661"/>
          </w:tcPr>
          <w:p>
            <w:pPr>
              <w:pStyle w:val="null3"/>
            </w:pPr>
            <w:r>
              <w:rPr>
                <w:rFonts w:ascii="仿宋_GB2312" w:hAnsi="仿宋_GB2312" w:cs="仿宋_GB2312" w:eastAsia="仿宋_GB2312"/>
              </w:rPr>
              <w:t>开标一览表 投标函 标的清单 响应报价表.docx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商务和技术需求响应</w:t>
            </w:r>
          </w:p>
        </w:tc>
        <w:tc>
          <w:tcPr>
            <w:tcW w:type="dxa" w:w="3322"/>
          </w:tcPr>
          <w:p>
            <w:pPr>
              <w:pStyle w:val="null3"/>
            </w:pPr>
            <w:r>
              <w:rPr>
                <w:rFonts w:ascii="仿宋_GB2312" w:hAnsi="仿宋_GB2312" w:cs="仿宋_GB2312" w:eastAsia="仿宋_GB2312"/>
              </w:rPr>
              <w:t>符合招标文件商务条款、技术条款要求。</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商务部分-业绩</w:t>
            </w:r>
          </w:p>
        </w:tc>
        <w:tc>
          <w:tcPr>
            <w:tcW w:type="dxa" w:w="2492"/>
          </w:tcPr>
          <w:p>
            <w:pPr>
              <w:pStyle w:val="null3"/>
            </w:pPr>
            <w:r>
              <w:rPr>
                <w:rFonts w:ascii="仿宋_GB2312" w:hAnsi="仿宋_GB2312" w:cs="仿宋_GB2312" w:eastAsia="仿宋_GB2312"/>
              </w:rPr>
              <w:t>提供投标人2022年1月至今（时间以合同签订时间为准）类似项目业绩，每份2.5分，不提供不得分。 备注：需提供完整业绩合同，并加盖投标人公章。</w:t>
            </w:r>
          </w:p>
        </w:tc>
        <w:tc>
          <w:tcPr>
            <w:tcW w:type="dxa" w:w="831"/>
          </w:tcPr>
          <w:p>
            <w:pPr>
              <w:pStyle w:val="null3"/>
              <w:jc w:val="right"/>
            </w:pPr>
            <w:r>
              <w:rPr>
                <w:rFonts w:ascii="仿宋_GB2312" w:hAnsi="仿宋_GB2312" w:cs="仿宋_GB2312" w:eastAsia="仿宋_GB2312"/>
              </w:rPr>
              <w:t>2.5000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商务部分-人员配备</w:t>
            </w:r>
          </w:p>
        </w:tc>
        <w:tc>
          <w:tcPr>
            <w:tcW w:type="dxa" w:w="2492"/>
          </w:tcPr>
          <w:p>
            <w:pPr>
              <w:pStyle w:val="null3"/>
            </w:pPr>
            <w:r>
              <w:rPr>
                <w:rFonts w:ascii="仿宋_GB2312" w:hAnsi="仿宋_GB2312" w:cs="仿宋_GB2312" w:eastAsia="仿宋_GB2312"/>
              </w:rPr>
              <w:t>一、评审内容 提供针对本项目特点的人员配备，内容包括：①组织计划；②项目组成人员；③人员培训方案 二、评审标准 1、完整性：方案须全面，对评审内容中的各项要求描述详细； 2、合理性：组织计划合理、结构清晰；项目组成人员职责任务明确、人员数量和人员专业结构配备合理； 3、针对性：人员配置能够紧扣项目实际情况，内容科学合理。 三、赋分依据（满分7.5 分） ①组织计划：每完全满足一个评审标准得0.5分，满分1.5分； ②项目组成人员：每完全满足一个评审标准得 1分，满分 3分； ③人员培训方案：每完全满足一个评审标准得 1分，满分3分； 注：项目组成人员须具有有效的健康证等相关资格证。</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商务部分-管理机构及制度</w:t>
            </w:r>
          </w:p>
        </w:tc>
        <w:tc>
          <w:tcPr>
            <w:tcW w:type="dxa" w:w="2492"/>
          </w:tcPr>
          <w:p>
            <w:pPr>
              <w:pStyle w:val="null3"/>
            </w:pPr>
            <w:r>
              <w:rPr>
                <w:rFonts w:ascii="仿宋_GB2312" w:hAnsi="仿宋_GB2312" w:cs="仿宋_GB2312" w:eastAsia="仿宋_GB2312"/>
              </w:rPr>
              <w:t>一、评审内容 根据项目实际需求，提供管理机构及制度。内容包含：①各岗位管理制度；②自查制度；③奖惩考核机制；④安全防范；⑤卫生保障；⑥服务态度、服务时间；⑦消杀管理；⑧服务时间；⑨食堂库房管理。 二、评审标准 1、完整性：方案须全面，对评审内容中的各项要求描述详细； 2、可实施性：切合本项目实际情况，实施步骤清晰、合理； 3、针对性：方案能够紧扣项目实际情况，内容科学合理。 三、赋分依据（满分15分） ①各岗位管理制度：每完全满足一个评审标准得 0.5分，满分1.5分； ②自查制度:每完全满足一个评审标准得 0.5分，满分1.5分； ③奖惩考核机制:每完全满足一个评审标准得 0.5分，满分1.5分。 ④安全防范:每完全满足一个评审标准得 0.5分，满分1.5分； ⑤卫生保障:每完全满足一个评审标准得 1分，满分3分； ⑥服务态度：每完全满足一个评审标准得 0.5分，满分1.5分； ⑦消杀管理：每完全满足一个评审标准得 0.5分，满分1.5分； ⑧服务时间:每完全满足一个评审标准得 0.5分，满分1.5分； ⑨食堂库房管理:每完全满足一个评审标准得 0.5分，满分1.5分。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技术部分-质量保证方案</w:t>
            </w:r>
          </w:p>
        </w:tc>
        <w:tc>
          <w:tcPr>
            <w:tcW w:type="dxa" w:w="2492"/>
          </w:tcPr>
          <w:p>
            <w:pPr>
              <w:pStyle w:val="null3"/>
            </w:pPr>
            <w:r>
              <w:rPr>
                <w:rFonts w:ascii="仿宋_GB2312" w:hAnsi="仿宋_GB2312" w:cs="仿宋_GB2312" w:eastAsia="仿宋_GB2312"/>
              </w:rPr>
              <w:t>一、评审内容 根据项目实际需求提供质量保证方案。内容包含：①环境与卫生；②安全执行标准、检验检查；③日常检查的措施；④食品品质新鲜。 二、评审标准 1、完整性：方案须全面，对评审内容中的各项要求描述详细； 2、针对性：方案能够紧扣项目实际情况，内容科学合理； 3、针对性：方案能够紧扣项目实际情况，内容科学合理。 三、赋分依据（满分24分） ①食品质量、安全与卫生：每完全满足一个评审标准得2分，满分6分； ②安全执行标准、检验检查：每完全满足一个评审标准得2分，满分6分； ③日常检查的措施：每完全满足一个评审标准得2分，满分6分； ④食品品质新鲜：每完全满足一个评审标准得2分，满分6分.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技术部分-应急方案</w:t>
            </w:r>
          </w:p>
        </w:tc>
        <w:tc>
          <w:tcPr>
            <w:tcW w:type="dxa" w:w="2492"/>
          </w:tcPr>
          <w:p>
            <w:pPr>
              <w:pStyle w:val="null3"/>
            </w:pPr>
            <w:r>
              <w:rPr>
                <w:rFonts w:ascii="仿宋_GB2312" w:hAnsi="仿宋_GB2312" w:cs="仿宋_GB2312" w:eastAsia="仿宋_GB2312"/>
              </w:rPr>
              <w:t>一、评审内容 根据项目实际需求提供应急方案。内容包含：①实施过程突发的紧急状况（包括但不限于食品和消防安全、生产安全、设备设施故障、人员更替、断水断电断气、食材等资源紧缺等突发事件）有合理化建议；②处理方式、措施及人员配备；③天气、车辆故障等突发事件；④配送或使用过程出现问题的应急预案及补救措。 二、评审标准 1、完整性：方案须全面，对评审内容中的各项要求描述详细； 2、可实施性：切合本项目实际情况，实施步骤清晰、合理； 3、针对性：方案能够紧扣项目实际情况，内容科学合理。 三、赋分依据（满分15分） ①实施过程突发的紧急状况有合理化建议：每完全满足一个评审标准得 2分，满分 6分； ②处理方式、措施及人员配备：每完全满足一个评审标准得1 分，满分 3分； ③天气、车辆故障等突发事件：每完全满足一个评审标准得 1 分，满分 3分； ④配送或使用过程出现问题的应急预案及补救措：每完全满足一个评审标准得1分，满分 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技术部分-菜品搭配与安全</w:t>
            </w:r>
          </w:p>
        </w:tc>
        <w:tc>
          <w:tcPr>
            <w:tcW w:type="dxa" w:w="2492"/>
          </w:tcPr>
          <w:p>
            <w:pPr>
              <w:pStyle w:val="null3"/>
            </w:pPr>
            <w:r>
              <w:rPr>
                <w:rFonts w:ascii="仿宋_GB2312" w:hAnsi="仿宋_GB2312" w:cs="仿宋_GB2312" w:eastAsia="仿宋_GB2312"/>
              </w:rPr>
              <w:t>一、评审内容 针对本项目的菜品搭配与食品安全，主要内容包括：①就餐品种；②搭配方案合理；③营养均衡。 二、评审标准 1、完整性：方案须全面，对评审内容中的各项要求描述详细； 2、可实施性：切合本项目实际情况，实施步骤清晰、合理； 3、针对性：方案能够紧扣项目实际情况，内容科学合理。 三、赋分依据（满分15分） ①就餐品种：每完全满足一个评审标准得 1 分，满分 3分； ②搭配方案合理：每完全满足一个评审标准得 2分，满分 6分； ③营养均衡：每完全满足一个评审标准得 2分，满分6分。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技术部分-时效保障措施</w:t>
            </w:r>
          </w:p>
        </w:tc>
        <w:tc>
          <w:tcPr>
            <w:tcW w:type="dxa" w:w="2492"/>
          </w:tcPr>
          <w:p>
            <w:pPr>
              <w:pStyle w:val="null3"/>
            </w:pPr>
            <w:r>
              <w:rPr>
                <w:rFonts w:ascii="仿宋_GB2312" w:hAnsi="仿宋_GB2312" w:cs="仿宋_GB2312" w:eastAsia="仿宋_GB2312"/>
              </w:rPr>
              <w:t>一、评审内容 针对本项目的时效保障措施，内容包括：①总体进度安排；②制作时间计划；③响应的及时性。 二、评审标准 1、完整性：方案须全面，对评审内容中的各项要求描述详细； 2、可实施性：切合本项目实际情况，实施步骤清晰、合理； 3、针对性：方案能够紧扣项目实际情况，内容科学合理。 三、赋分依据（满分 9分） ①总体进度安排：每完全满足一个评审标准得 1 分，满分 3分； ②采买时间计划：每完全满足一个评审标准得 1分，满分 3分； ③响应的及时性：每完全满足一个评审标准得 1 分，满分 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技术部分-可行性建议</w:t>
            </w:r>
          </w:p>
        </w:tc>
        <w:tc>
          <w:tcPr>
            <w:tcW w:type="dxa" w:w="2492"/>
          </w:tcPr>
          <w:p>
            <w:pPr>
              <w:pStyle w:val="null3"/>
            </w:pPr>
            <w:r>
              <w:rPr>
                <w:rFonts w:ascii="仿宋_GB2312" w:hAnsi="仿宋_GB2312" w:cs="仿宋_GB2312" w:eastAsia="仿宋_GB2312"/>
              </w:rPr>
              <w:t>一、评审内容 根据项目实际需求提供可行性建议 二、评审标准 1、可实施性：切合本项目实际情况，实施步骤清晰、合理； 2、针对性：方案能够紧扣项目实际情况，内容科学合理。 三、赋分依据（满分2分） 可行性建议：每完全满足一个评审标准得1分，满分2分。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满足竞争性磋商文件要求且磋商下浮率最高的磋商报价为评标基准价， 其价格分为满分。其他供应商的价 格分统一按照下列公式计算：磋报价得分=（（1-下浮率）/有效报价 ) ×价格权重（10%） ×100。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详见附件：响应报价表.docx</w:t>
      </w:r>
    </w:p>
    <w:p>
      <w:pPr>
        <w:pStyle w:val="null3"/>
        <w:ind w:firstLine="960"/>
      </w:pPr>
      <w:r>
        <w:rPr>
          <w:rFonts w:ascii="仿宋_GB2312" w:hAnsi="仿宋_GB2312" w:cs="仿宋_GB2312" w:eastAsia="仿宋_GB2312"/>
        </w:rPr>
        <w:t>详见附件：资格证明文件部分格式.docx</w:t>
      </w:r>
    </w:p>
    <w:p>
      <w:pPr>
        <w:pStyle w:val="null3"/>
        <w:ind w:firstLine="960"/>
      </w:pPr>
      <w:r>
        <w:rPr>
          <w:rFonts w:ascii="仿宋_GB2312" w:hAnsi="仿宋_GB2312" w:cs="仿宋_GB2312" w:eastAsia="仿宋_GB2312"/>
        </w:rPr>
        <w:t>详见附件：其他相关资料.docx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