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版本号：ZCSP-临渭区-2025-0017620250807001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渭南市临渭区“十五五”规划编制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ZCSP-临渭区-2025-00176</w:t>
      </w:r>
      <w:r>
        <w:br/>
      </w:r>
      <w:r>
        <w:br/>
      </w:r>
      <w:r>
        <w:br/>
      </w:r>
    </w:p>
    <w:p>
      <w:pPr>
        <w:pStyle w:val="null3"/>
        <w:jc w:val="center"/>
        <w:outlineLvl w:val="2"/>
      </w:pPr>
      <w:r>
        <w:rPr>
          <w:rFonts w:ascii="仿宋_GB2312" w:hAnsi="仿宋_GB2312" w:cs="仿宋_GB2312" w:eastAsia="仿宋_GB2312"/>
          <w:sz w:val="28"/>
          <w:b/>
        </w:rPr>
        <w:t>渭南市临渭区发展和改革局</w:t>
      </w:r>
    </w:p>
    <w:p>
      <w:pPr>
        <w:pStyle w:val="null3"/>
        <w:jc w:val="center"/>
        <w:outlineLvl w:val="2"/>
      </w:pPr>
      <w:r>
        <w:rPr>
          <w:rFonts w:ascii="仿宋_GB2312" w:hAnsi="仿宋_GB2312" w:cs="仿宋_GB2312" w:eastAsia="仿宋_GB2312"/>
          <w:sz w:val="28"/>
          <w:b/>
        </w:rPr>
        <w:t>陕西克崎顶工程项目管理有限公司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陕西克崎顶工程项目管理有限公司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渭南市临渭区发展和改革局</w:t>
      </w:r>
      <w:r>
        <w:rPr>
          <w:rFonts w:ascii="仿宋_GB2312" w:hAnsi="仿宋_GB2312" w:cs="仿宋_GB2312" w:eastAsia="仿宋_GB2312"/>
        </w:rPr>
        <w:t>委托，拟对</w:t>
      </w:r>
      <w:r>
        <w:rPr>
          <w:rFonts w:ascii="仿宋_GB2312" w:hAnsi="仿宋_GB2312" w:cs="仿宋_GB2312" w:eastAsia="仿宋_GB2312"/>
        </w:rPr>
        <w:t>渭南市临渭区“十五五”规划编制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渭南市临渭区“十五五”规划编制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十五五”规划编制》，总结评估“十四五”规划落实情况，做好“十五五”规划前期谋划工作；科学设定“十五五”期间的发展思路、目标、重点任务和重大项目；要求与渭南市临渭区经济社会发展大局紧密结合，切实贯彻国家、省市区战略意图，确保总体要求一致、空间配置合理、安排好规划实施的重点和时序，确保各项重大任务如期顺利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采购包1（渭南市临渭区“十五五”规划编制）：属于专门面向中小企业采购。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3、投标保证金：投标保证金交纳凭证。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渭南市东风街83号院内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0913-3039729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陕西克崎顶工程项目管理有限公司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陕西省渭南市临渭区陕西省渭南市临渭区金水路与胜利大街十字金水湾酒店十二楼1208室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18220302612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开户名称：陕西克崎顶工程项目管理有限公司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银行账号：806040601421008611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 发改价格﹝2011﹞534号文件的计费标准，以中标价为基数计算，按照标准收取。 开户名称：陕西克崎顶工程项目管理有限公司 开户银行：长安银行股份有限公司渭南向阳支行 银行账号：806040601421008611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渭南市临渭区发展和改革局</w:t>
      </w:r>
      <w:r>
        <w:rPr>
          <w:rFonts w:ascii="仿宋_GB2312" w:hAnsi="仿宋_GB2312" w:cs="仿宋_GB2312" w:eastAsia="仿宋_GB2312"/>
        </w:rPr>
        <w:t>和</w:t>
      </w:r>
      <w:r>
        <w:rPr>
          <w:rFonts w:ascii="仿宋_GB2312" w:hAnsi="仿宋_GB2312" w:cs="仿宋_GB2312" w:eastAsia="仿宋_GB2312"/>
        </w:rPr>
        <w:t>陕西克崎顶工程项目管理有限公司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陕西克崎顶工程项目管理有限公司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陕西克崎顶工程项目管理有限公司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服务期满，上报区人民代表大会会议审议通过后，确定项目完成。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联系人：张玲</w:t>
      </w:r>
    </w:p>
    <w:p>
      <w:pPr>
        <w:pStyle w:val="null3"/>
      </w:pPr>
      <w:r>
        <w:rPr>
          <w:rFonts w:ascii="仿宋_GB2312" w:hAnsi="仿宋_GB2312" w:cs="仿宋_GB2312" w:eastAsia="仿宋_GB2312"/>
        </w:rPr>
        <w:t>联系电话：18220302612</w:t>
      </w:r>
    </w:p>
    <w:p>
      <w:pPr>
        <w:pStyle w:val="null3"/>
      </w:pPr>
      <w:r>
        <w:rPr>
          <w:rFonts w:ascii="仿宋_GB2312" w:hAnsi="仿宋_GB2312" w:cs="仿宋_GB2312" w:eastAsia="仿宋_GB2312"/>
        </w:rPr>
        <w:t>地址：陕西省渭南市临渭区金水路与胜利大街十字金水湾酒店十二楼1208室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十五五”规划编制》，总结评估“十四五”规划落实情况，做好“十五五”规划前期谋划工作；科学设定“十五五”期间的发展思路、目标、重点任务和重大项目；要求与渭南市临渭区经济社会发展大局紧密结合，切实贯彻国家、省市区战略意图，确保总体要求一致、空间配置合理、安排好规划实施的重点和时序，确保各项重大任务如期顺利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渭南市临渭区“十五五”规划编制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标的名称：渭南市临渭区“十五五”规划编制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服务要求：</w:t>
            </w:r>
            <w:r>
              <w:rPr>
                <w:rFonts w:ascii="仿宋_GB2312" w:hAnsi="仿宋_GB2312" w:cs="仿宋_GB2312" w:eastAsia="仿宋_GB2312"/>
                <w:sz w:val="21"/>
              </w:rPr>
              <w:t>切实贯彻国家、省市区战略意图，结合临渭区实际，在调查研究、资料搜集、专题调研研究的基础上，对渭南市临渭区</w:t>
            </w:r>
            <w:r>
              <w:rPr>
                <w:rFonts w:ascii="仿宋_GB2312" w:hAnsi="仿宋_GB2312" w:cs="仿宋_GB2312" w:eastAsia="仿宋_GB2312"/>
                <w:sz w:val="21"/>
              </w:rPr>
              <w:t>“十四五”规划执行情况进行认真总结，科学编制渭南市临渭区“十五五”规划，并与渭南市国民经济和社会发展“十五五”规划进行衔接，上报区人民代表大会会议审议通过。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r>
              <w:rPr>
                <w:rFonts w:ascii="仿宋_GB2312" w:hAnsi="仿宋_GB2312" w:cs="仿宋_GB2312" w:eastAsia="仿宋_GB2312"/>
                <w:sz w:val="21"/>
              </w:rPr>
              <w:t>编制</w:t>
            </w:r>
            <w:r>
              <w:rPr>
                <w:rFonts w:ascii="仿宋_GB2312" w:hAnsi="仿宋_GB2312" w:cs="仿宋_GB2312" w:eastAsia="仿宋_GB2312"/>
                <w:sz w:val="21"/>
              </w:rPr>
              <w:t>渭南市临渭区</w:t>
            </w:r>
            <w:r>
              <w:rPr>
                <w:rFonts w:ascii="仿宋_GB2312" w:hAnsi="仿宋_GB2312" w:cs="仿宋_GB2312" w:eastAsia="仿宋_GB2312"/>
                <w:sz w:val="21"/>
              </w:rPr>
              <w:t>“十五五”规划</w:t>
            </w:r>
            <w:r>
              <w:rPr>
                <w:rFonts w:ascii="仿宋_GB2312" w:hAnsi="仿宋_GB2312" w:cs="仿宋_GB2312" w:eastAsia="仿宋_GB2312"/>
                <w:sz w:val="21"/>
              </w:rPr>
              <w:t>，</w:t>
            </w:r>
            <w:r>
              <w:rPr>
                <w:rFonts w:ascii="仿宋_GB2312" w:hAnsi="仿宋_GB2312" w:cs="仿宋_GB2312" w:eastAsia="仿宋_GB2312"/>
                <w:sz w:val="21"/>
              </w:rPr>
              <w:t>总结评估</w:t>
            </w:r>
            <w:r>
              <w:rPr>
                <w:rFonts w:ascii="仿宋_GB2312" w:hAnsi="仿宋_GB2312" w:cs="仿宋_GB2312" w:eastAsia="仿宋_GB2312"/>
                <w:sz w:val="21"/>
              </w:rPr>
              <w:t>“十四五”规划落实情况，做好“十五五”规划前期谋划工作；科学设定“十五五”期间的发展思路、目标、重点任务和重大项目</w:t>
            </w:r>
            <w:r>
              <w:rPr>
                <w:rFonts w:ascii="仿宋_GB2312" w:hAnsi="仿宋_GB2312" w:cs="仿宋_GB2312" w:eastAsia="仿宋_GB2312"/>
                <w:sz w:val="21"/>
              </w:rPr>
              <w:t>；要</w:t>
            </w:r>
            <w:r>
              <w:rPr>
                <w:rFonts w:ascii="仿宋_GB2312" w:hAnsi="仿宋_GB2312" w:cs="仿宋_GB2312" w:eastAsia="仿宋_GB2312"/>
                <w:sz w:val="21"/>
              </w:rPr>
              <w:t>求</w:t>
            </w:r>
            <w:r>
              <w:rPr>
                <w:rFonts w:ascii="仿宋_GB2312" w:hAnsi="仿宋_GB2312" w:cs="仿宋_GB2312" w:eastAsia="仿宋_GB2312"/>
                <w:sz w:val="21"/>
              </w:rPr>
              <w:t>与渭南市临渭区经济社会发展大局紧密结合，切实贯彻国家、省市区战略意图，确保总体要求一致、空间配置合理、安排好规划实施的重点和时序，确保各项重大任务如期顺利完成。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编制成果提交要求:</w:t>
            </w:r>
          </w:p>
          <w:p>
            <w:pPr>
              <w:pStyle w:val="null3"/>
              <w:jc w:val="both"/>
            </w:pPr>
            <w:r>
              <w:rPr>
                <w:rFonts w:ascii="仿宋_GB2312" w:hAnsi="仿宋_GB2312" w:cs="仿宋_GB2312" w:eastAsia="仿宋_GB2312"/>
                <w:sz w:val="21"/>
              </w:rPr>
              <w:t>1.报批备案版成果包括文本、图件、附表。</w:t>
            </w:r>
          </w:p>
          <w:p>
            <w:pPr>
              <w:pStyle w:val="null3"/>
            </w:pPr>
            <w:r>
              <w:rPr>
                <w:rFonts w:ascii="仿宋_GB2312" w:hAnsi="仿宋_GB2312" w:cs="仿宋_GB2312" w:eastAsia="仿宋_GB2312"/>
                <w:sz w:val="21"/>
              </w:rPr>
              <w:t>2.全部成果（包括研究成果、图纸、调查数据及其处理结果）均应制作成计算机文件，文本文件采用Microsoft word 的格式文件，图形采用jpg 的格式文件，调查数据及处理结果采用 Microsoft Excel 的格式文件，提供以上计算机文件光盘一套。</w:t>
            </w:r>
          </w:p>
          <w:p>
            <w:pPr>
              <w:pStyle w:val="null3"/>
            </w:pPr>
            <w:r>
              <w:rPr>
                <w:rFonts w:ascii="仿宋_GB2312" w:hAnsi="仿宋_GB2312" w:cs="仿宋_GB2312" w:eastAsia="仿宋_GB2312"/>
                <w:sz w:val="21"/>
              </w:rPr>
              <w:t>3.按照采购人要求提供成果印刷材料。</w:t>
            </w:r>
          </w:p>
          <w:p>
            <w:pPr>
              <w:pStyle w:val="null3"/>
            </w:pPr>
            <w:r>
              <w:rPr>
                <w:rFonts w:ascii="仿宋_GB2312" w:hAnsi="仿宋_GB2312" w:cs="仿宋_GB2312" w:eastAsia="仿宋_GB2312"/>
                <w:sz w:val="21"/>
              </w:rPr>
              <w:t>4.报告成果所使用的文字必须为简体中文。</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服务期满，上报区人民代表大会会议审议通过后，确定项目完成。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初稿完成后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定稿完成后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经区人民代表大会审议批准印发实施后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渭南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结果公告发布5日内，须向采购代理机构提供纸质版响应文件3套（1正2副），U盘3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或信用担保机构出具的投标担保函（以上三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资格证明文件.docx 响应文件封面 残疾人福利性单位声明函 技术和商务偏离表.docx 业绩证明材料.docx 标的清单 响应函 合同条款响应.docx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技术和商务偏离表.docx 合同条款响应.docx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技术和商务偏离表.docx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项目背景分析内容包括 ①项目背景分析；②项目前期发展情况；③项目前期问题和薄弱环节。通过对临渭区“十四五”时期社会经济发展进行全面总结，包括取得的成绩、存在的问题和薄弱环节，阐述准确、全面、深入、透彻得9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分析面临的机遇、挑战；②发展指导思想；③主要目标④重点任务和重大举措。通过分析当前国内外形势，深入分析临渭区“十五五”时期经济社会发展面临的机遇和挑战，明确临渭区“十五五”时期经济社会发展指导思想、主要目标、重点任务和重大举措，阐述准确、全面、深入、透彻得16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12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③成果文件质量控制措施；④进度保障措施。以上内容专门针对本项目且阐述明细、全面、合理得12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团队人员具有高级或以上职称的，每提供一人得2分，具有中级职称的每提供一人得1分，最高得6分（注：提供证书复印件或扫描件，不提供不得分。同一人有多个职称证的以最高职称计分，不重复计分）。 2、项目团队配置①组织机构设置方案②团队的职能分工及职责划分方案。机构设置合理、团队人员职责划分明确、团队配置满足项目情况及需要，人员专业能力能有效保障项目服务质量，内容描述详细，架构清晰的得8分。评审内容每缺一项扣4分；评审内容有缺陷（缺陷是指：内容粗略、组织结构设置不合理、人员配置不合理、职责划分不明确、人员经验不足、与项目特点不匹配、或只有标题没有实质性内容等）扣0.1-3.9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9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提供供应商2021年1月至响应文件递交截止日类似项目业绩（以合同复印件为准），每提供一份业绩得2分，最高得8分。若提供虚假业绩，一经发现，按无效磋商处理。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20分。（3）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