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版本号：SXCFY20250712.1B120250815002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餐厅食品代加工服务(二次)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SXCFY20250712.1B1</w:t>
      </w:r>
      <w:r>
        <w:br/>
      </w:r>
      <w:r>
        <w:br/>
      </w:r>
      <w:r>
        <w:br/>
      </w:r>
    </w:p>
    <w:p>
      <w:pPr>
        <w:pStyle w:val="null3"/>
        <w:jc w:val="center"/>
        <w:outlineLvl w:val="2"/>
      </w:pPr>
      <w:r>
        <w:rPr>
          <w:rFonts w:ascii="仿宋_GB2312" w:hAnsi="仿宋_GB2312" w:cs="仿宋_GB2312" w:eastAsia="仿宋_GB2312"/>
          <w:sz w:val="28"/>
          <w:b/>
        </w:rPr>
        <w:t>渭南市三贤中学</w:t>
      </w:r>
    </w:p>
    <w:p>
      <w:pPr>
        <w:pStyle w:val="null3"/>
        <w:jc w:val="center"/>
        <w:outlineLvl w:val="2"/>
      </w:pPr>
      <w:r>
        <w:rPr>
          <w:rFonts w:ascii="仿宋_GB2312" w:hAnsi="仿宋_GB2312" w:cs="仿宋_GB2312" w:eastAsia="仿宋_GB2312"/>
          <w:sz w:val="28"/>
          <w:b/>
        </w:rPr>
        <w:t>陕西诚方源项目管理有限公司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陕西诚方源项目管理有限公司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渭南市三贤中学</w:t>
      </w:r>
      <w:r>
        <w:rPr>
          <w:rFonts w:ascii="仿宋_GB2312" w:hAnsi="仿宋_GB2312" w:cs="仿宋_GB2312" w:eastAsia="仿宋_GB2312"/>
        </w:rPr>
        <w:t>委托，拟对</w:t>
      </w:r>
      <w:r>
        <w:rPr>
          <w:rFonts w:ascii="仿宋_GB2312" w:hAnsi="仿宋_GB2312" w:cs="仿宋_GB2312" w:eastAsia="仿宋_GB2312"/>
        </w:rPr>
        <w:t>餐厅食品代加工服务(二次)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SXCFY20250712.1B1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餐厅食品代加工服务(二次)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渭南市三贤中学餐厅食品代加工服务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采购包1（渭南市三贤中学餐厅食品代加工服务）：属于专门面向中小企业采购。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1、法定代表人或其授权代表：法定代表人直接参加磋商的，须出具法定代表人身份证明书；法定代表人授权代表参加磋商的，须出具法定代表人授权委托书。</w:t>
      </w:r>
    </w:p>
    <w:p>
      <w:pPr>
        <w:pStyle w:val="null3"/>
      </w:pPr>
      <w:r>
        <w:rPr>
          <w:rFonts w:ascii="仿宋_GB2312" w:hAnsi="仿宋_GB2312" w:cs="仿宋_GB2312" w:eastAsia="仿宋_GB2312"/>
        </w:rPr>
        <w:t>2、资质：供应商须提供有效的《食品经营许可证》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渭南市三贤中学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临渭区杜化路5号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0913-3039969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陕西诚方源项目管理有限公司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陕西省西安市新城区金花北路169号天彩大厦B座1单元20层2001室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阮工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029-89339538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开户名称：陕西诚方源项目管理有限公司</w:t>
            </w:r>
          </w:p>
          <w:p>
            <w:pPr>
              <w:pStyle w:val="null3"/>
            </w:pPr>
            <w:r>
              <w:rPr>
                <w:rFonts w:ascii="仿宋_GB2312" w:hAnsi="仿宋_GB2312" w:cs="仿宋_GB2312" w:eastAsia="仿宋_GB2312"/>
              </w:rPr>
              <w:t>开户银行：中信银行股份有限公司西安咸宁路支行</w:t>
            </w:r>
          </w:p>
          <w:p>
            <w:pPr>
              <w:pStyle w:val="null3"/>
            </w:pPr>
            <w:r>
              <w:rPr>
                <w:rFonts w:ascii="仿宋_GB2312" w:hAnsi="仿宋_GB2312" w:cs="仿宋_GB2312" w:eastAsia="仿宋_GB2312"/>
              </w:rPr>
              <w:t>银行账号：8111701011600592875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标准。 2、采购代理服务费账户： 公司名称：陕西诚方源项目管理有限公司 账 号: 8111701011600592875 开 户 行：中信银行股份有限公司西安咸宁路支行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渭南市三贤中学</w:t>
      </w:r>
      <w:r>
        <w:rPr>
          <w:rFonts w:ascii="仿宋_GB2312" w:hAnsi="仿宋_GB2312" w:cs="仿宋_GB2312" w:eastAsia="仿宋_GB2312"/>
        </w:rPr>
        <w:t>和</w:t>
      </w:r>
      <w:r>
        <w:rPr>
          <w:rFonts w:ascii="仿宋_GB2312" w:hAnsi="仿宋_GB2312" w:cs="仿宋_GB2312" w:eastAsia="仿宋_GB2312"/>
        </w:rPr>
        <w:t>陕西诚方源项目管理有限公司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渭南市三贤中学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陕西诚方源项目管理有限公司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渭南市三贤中学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陕西诚方源项目管理有限公司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联系人：阮工</w:t>
      </w:r>
    </w:p>
    <w:p>
      <w:pPr>
        <w:pStyle w:val="null3"/>
      </w:pPr>
      <w:r>
        <w:rPr>
          <w:rFonts w:ascii="仿宋_GB2312" w:hAnsi="仿宋_GB2312" w:cs="仿宋_GB2312" w:eastAsia="仿宋_GB2312"/>
        </w:rPr>
        <w:t>联系电话：029-89339538</w:t>
      </w:r>
    </w:p>
    <w:p>
      <w:pPr>
        <w:pStyle w:val="null3"/>
      </w:pPr>
      <w:r>
        <w:rPr>
          <w:rFonts w:ascii="仿宋_GB2312" w:hAnsi="仿宋_GB2312" w:cs="仿宋_GB2312" w:eastAsia="仿宋_GB2312"/>
        </w:rPr>
        <w:t>地址：陕西省西安市新城区金花北路169号天彩大厦B座1单元20层2001室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渭南市三贤中学餐厅食品代加工服务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渭南市三贤中学餐厅食品代加工服务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标的名称：渭南市三贤中学餐厅食品代加工服务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rPr>
              <w:t>提供学校学生食堂的人力资源服务，包括但不限于验收食材、出入库、粗加工、切配、烹饪、分餐、配餐、清洗消毒、环境卫生、食品留样、资质查验、加工记录及资料整理等。</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1、合同总价计算方式：按月收取学生伙食费、教职工伙食费总和的22%*（1-下浮率）</w:t>
            </w:r>
          </w:p>
          <w:p>
            <w:pPr>
              <w:pStyle w:val="null3"/>
              <w:jc w:val="left"/>
            </w:pPr>
            <w:r>
              <w:rPr>
                <w:rFonts w:ascii="仿宋_GB2312" w:hAnsi="仿宋_GB2312" w:cs="仿宋_GB2312" w:eastAsia="仿宋_GB2312"/>
              </w:rPr>
              <w:t>2、合同总价包括人工费、管理费、工伤保险、医疗、税金、技术培训费、等其他一切相关费用。合同总价不受市场价变化或实际工作量变化的影响，合同价格为含税价，提供服务所发生的一切税费（包括增值税）等都已包含于合同价款中。</w:t>
            </w:r>
          </w:p>
          <w:p>
            <w:pPr>
              <w:pStyle w:val="null3"/>
            </w:pPr>
            <w:r>
              <w:rPr>
                <w:rFonts w:ascii="仿宋_GB2312" w:hAnsi="仿宋_GB2312" w:cs="仿宋_GB2312" w:eastAsia="仿宋_GB2312"/>
              </w:rPr>
              <w:t>3、甲方按照服务考核细则进行考核，违反相关制度将从每月劳务费中扣除部分费用，并将扣除费用转入学生伙食费用于食材购买。</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1.供应商购买校园食品安全责任保险。 2.乙方所有人员年龄在60岁以下，需提供无犯罪记录证明、办理健康证。 3.能够自觉遵守国家法律法规，胜任岗位工作，能够遵守学校各项制度及工作规范，达到学校考核体系合格及以上标准。 4.乙方必须服从学校安排管理，严格落实食品安全“十统一、六到位”规范标准，按照学校要求为师生供餐。 5.乙方应按照食堂后厨需要安排足够的工作人员，避免人员不足影响供餐质量和供餐时间。 6.乙方对食堂食品安全、环境卫生、员工人身安全负总责，如遇相关职能部门在检查过程中发现的食堂管理、食品安全、操作记录、台账建立等问题由乙方负责，处罚由乙方承担。 7.乙方负责学校食堂所有的劳务工作。包括饭菜加工、食堂卫生、餐厨具清洗消毒、留样、送餐、分餐等工作。 8.乙方在加工食品时，应以食堂加工为主，不得购买成品或半成品（包括：馒头和面条等）。 9.乙方必须建立规范的公司章程制度，按照食品安全标准及餐饮公司管理标准进行餐厅管理，制定并严格执行人员管理、餐厅卫生、食品安全、清洗消毒、食品留样、操作流程等制度；制定各种安全生产的方案、应急预案、应急演练方案等，对食品加工过程的操作规范和安全负总责。 10.严格执行上级部门或学校制定的餐厅管理规定，乙方在服务过程中因未能严格执行相关制度和规定造成食品不安全事件发生或者职能部门处罚的由乙方全部负责。 11.自行购置餐厅运行所需的办公、清洁等低值易耗零星物品。 12.自聘餐厅工作人员，按时发放所聘人员工资，缴纳所聘人员工伤保险和国家规定的相关费用，教育其严格遵守食品安全管理要求及学校其他有关规定。 13.乙方须对聘用人员进行岗前培训，增强员工食品安全意识，确保每个员工能熟练掌握操作技能。 14.乙方必须按照食谱为学生供餐，所供食物要安全、卫生、可靠，保证所有学生有饭吃，吃饱饭，杜绝浪费现象发生。 15.餐厅及后厨加工区域环境卫生保持干净、整洁，做到餐冲、日洗和天和每周大清洗要求，并对餐厅周边环境卫生负责，按照法规要求回收处理餐厨垃圾。 16.按规定时间准备饭菜，不得拖延；如遇特殊情况需延迟应及时通知甲方，无故拖延开饭时间甲方有权利进行处罚，每学期三次以上，甲方有权解除合同。 17.乙方的工作人员须遵守学校各项规章制度，未经批准不得随意出入教学区，若违反，甲方有权处理。 18.乙方应爱护学校所购置的设施设备，要及时维护和保养，不得人为损坏，否则照价赔偿。 19.自觉服从甲方管理，无条件接受并配合甲方的检查、观摩和参观活动。 20.及时到相关部门更新食品经营许可证、员工健康证等相关证件。 21.及时与甲方签订食品安全责任书。 22.乙方对所聘员工完全负责，甲方和乙方员工之间不存在劳动关系。工作期间产生的工伤及其它劳务纠纷等由乙方妥善解决，与甲方无关。</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1、本项目报价方式为下浮率，基准价为按月收取学生伙食费、教职工伙食费总和的22%。 2、结算价计算方式：按月结算；按月收取学生伙食费、教职工伙食费总和的22%*（1-下浮率） 注：如下浮率为10%，最终结算金额=收取学生伙食费、教职工伙食费总和的22%*（1-10%） 3、成交单位在中标(成交)结果公告结束后3个工作日内向采购代理机构提供纸质版投标文件正 本一份，副本三份，电子U盘一份(投标文件内容与电子版一致)。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自合同签订之日起一年（服务期满后，乙方服务合格，同等条件下，经双方协商可续签二年）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渭南市三贤中学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采购人按照政府采购合同约定的服务标准组织对投标人的履约情况进行验收，并出具验收报告。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按月支付，以乙方提供服务满自然月，经甲方综合评定服务标准达到合格及以上标准，每月5日之前餐饮公司提出申请，由学校食堂管理员申报、后勤财务处审核，经校长审签，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（1）供应商若中途停止供餐或因违反食品安全要求及学校有关规定给学校及师生造成损失,供应商应付相应法律责任及全部经济责任。 （2）供应商在合同期间不履职尽责，不接受采购人管理;对上级部门在检查过程中指出的问题不及时整改，被行政处罚;发生食品安全事故等，采购人有权终止合同。 （3）合同期满后,供应商应负责将采购人所有资产完好交还甲方,否则采购人将按资产的实际损失收取修理费或赔偿费。 （4）供应商逾期无法办理从业人员健康证,采购人有权责令供应商整改。因供应商不具备上述证件而使采购人被相关部门处罚,供应商应负赔偿责任。 （5）若供应商违反合同中任一条款,采购人将有权责令其限期整改,整改不到位的，终止合同。 （6）若供应商将经营权转包给他人经营的,采购人有权中止合同。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1、本项目报价方式为下浮率，基准价为按月收取学生伙食费、教职工伙食费总和的22%。 2、结算价计算方式：按月结算；按月收取学生伙食费、教职工伙食费总和的22%*（1-下浮率） 注：如下浮率为10%，最终结算金额=收取学生伙食费、教职工伙食费总和的22%*（1-10%） 3、成交单位在中标(成交)结果公告结束后3个工作日内向采购代理机构提供纸质版投标文件正 本一份，副本三份，电子U盘一份(投标文件内容与电子版一致)。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投标文件递交截止时间前六个月内其基本开户银行出具的资信证明或担保函；注：根据“【财办2022】32号”的规定，2022年后出具的审计报告须在注册会计师行业统一监管平台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供应商需在项目电子化交易系统中按要求填写《投标函》及《供应商企业关系关联承诺书》完成承诺并进行电子签章。</w:t>
            </w:r>
          </w:p>
        </w:tc>
        <w:tc>
          <w:tcPr>
            <w:tcW w:type="dxa" w:w="1661"/>
          </w:tcPr>
          <w:p>
            <w:pPr>
              <w:pStyle w:val="null3"/>
            </w:pPr>
            <w:r>
              <w:rPr>
                <w:rFonts w:ascii="仿宋_GB2312" w:hAnsi="仿宋_GB2312" w:cs="仿宋_GB2312" w:eastAsia="仿宋_GB2312"/>
              </w:rPr>
              <w:t>资格证明文件部分格式.docx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营业执照等主体证明文件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税收缴纳证明</w:t>
            </w:r>
          </w:p>
        </w:tc>
        <w:tc>
          <w:tcPr>
            <w:tcW w:type="dxa" w:w="3322"/>
          </w:tcPr>
          <w:p>
            <w:pPr>
              <w:pStyle w:val="null3"/>
            </w:pPr>
            <w:r>
              <w:rPr>
                <w:rFonts w:ascii="仿宋_GB2312" w:hAnsi="仿宋_GB2312" w:cs="仿宋_GB2312" w:eastAsia="仿宋_GB2312"/>
              </w:rPr>
              <w:t>提供2025年1月至今（税款所属日期）已缴纳的至少一个月的纳税证明或完税证明（任意税种），依法免税的单位应提供相关证明材料。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承诺声明</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法定代表人或其授权代表</w:t>
            </w:r>
          </w:p>
        </w:tc>
        <w:tc>
          <w:tcPr>
            <w:tcW w:type="dxa" w:w="3322"/>
          </w:tcPr>
          <w:p>
            <w:pPr>
              <w:pStyle w:val="null3"/>
            </w:pPr>
            <w:r>
              <w:rPr>
                <w:rFonts w:ascii="仿宋_GB2312" w:hAnsi="仿宋_GB2312" w:cs="仿宋_GB2312" w:eastAsia="仿宋_GB2312"/>
              </w:rPr>
              <w:t>法定代表人直接参加磋商的，须出具法定代表人身份证明书；法定代表人授权代表参加磋商的，须出具法定代表人授权委托书。</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供应商须提供有效的《食品经营许可证》</w:t>
            </w:r>
          </w:p>
        </w:tc>
        <w:tc>
          <w:tcPr>
            <w:tcW w:type="dxa" w:w="1661"/>
          </w:tcPr>
          <w:p>
            <w:pPr>
              <w:pStyle w:val="null3"/>
            </w:pPr>
            <w:r>
              <w:rPr>
                <w:rFonts w:ascii="仿宋_GB2312" w:hAnsi="仿宋_GB2312" w:cs="仿宋_GB2312" w:eastAsia="仿宋_GB2312"/>
              </w:rPr>
              <w:t>资格证明文件部分格式.docx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磋商响应文件的签字盖章符合采购文件要求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其他相关资料.docx 响应文件封面 残疾人福利性单位声明函 资格证明文件部分格式.docx 服务方案 标的清单 响应报价表.docx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报价未超过预算和最高限价。</w:t>
            </w:r>
          </w:p>
        </w:tc>
        <w:tc>
          <w:tcPr>
            <w:tcW w:type="dxa" w:w="1661"/>
          </w:tcPr>
          <w:p>
            <w:pPr>
              <w:pStyle w:val="null3"/>
            </w:pPr>
            <w:r>
              <w:rPr>
                <w:rFonts w:ascii="仿宋_GB2312" w:hAnsi="仿宋_GB2312" w:cs="仿宋_GB2312" w:eastAsia="仿宋_GB2312"/>
              </w:rPr>
              <w:t>响应文件封面 商务应答表 标的清单 报价表 响应报价表.docx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其他相关资料.docx 响应文件封面 残疾人福利性单位声明函 资格证明文件部分格式.docx 服务方案 标的清单 响应报价表.docx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商务和技术需求响应</w:t>
            </w:r>
          </w:p>
        </w:tc>
        <w:tc>
          <w:tcPr>
            <w:tcW w:type="dxa" w:w="3322"/>
          </w:tcPr>
          <w:p>
            <w:pPr>
              <w:pStyle w:val="null3"/>
            </w:pPr>
            <w:r>
              <w:rPr>
                <w:rFonts w:ascii="仿宋_GB2312" w:hAnsi="仿宋_GB2312" w:cs="仿宋_GB2312" w:eastAsia="仿宋_GB2312"/>
              </w:rPr>
              <w:t>符合磋商文件商务条款、技术条款要求。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其他相关资料.docx 响应文件封面 残疾人福利性单位声明函 资格证明文件部分格式.docx 服务方案 标的清单 响应报价表.docx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商务部分-人员配备</w:t>
            </w:r>
          </w:p>
        </w:tc>
        <w:tc>
          <w:tcPr>
            <w:tcW w:type="dxa" w:w="2492"/>
          </w:tcPr>
          <w:p>
            <w:pPr>
              <w:pStyle w:val="null3"/>
            </w:pPr>
            <w:r>
              <w:rPr>
                <w:rFonts w:ascii="仿宋_GB2312" w:hAnsi="仿宋_GB2312" w:cs="仿宋_GB2312" w:eastAsia="仿宋_GB2312"/>
              </w:rPr>
              <w:t>一、评审内容 提供针对本项目特点的人员配备，内容包括：①组织计划；②项目组成人员；③人员培训方案 二、评审标准 1、完整性：方案须全面，对评审内容中的各项要求描述详细； 2、合理性：组织计划合理、结构清晰；项目组成人员职责任务明确、人员数量和人员专业结构配备合理； 3、针对性：人员配置能够紧扣项目实际情况，内容科学合理。 三、赋分依据（满分7.5 分） ①组织计划：每完全满足一个评审标准得0.5分，满分1.5分； ②项目组成人员：每完全满足一个评审标准得 1分，满分 3分； ③人员培训方案：每完全满足一个评审标准得 1分，满分3分； 注：项目组成人员须具有有效的健康证等相关资格证。</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商务部分-管理机构及制度</w:t>
            </w:r>
          </w:p>
        </w:tc>
        <w:tc>
          <w:tcPr>
            <w:tcW w:type="dxa" w:w="2492"/>
          </w:tcPr>
          <w:p>
            <w:pPr>
              <w:pStyle w:val="null3"/>
            </w:pPr>
            <w:r>
              <w:rPr>
                <w:rFonts w:ascii="仿宋_GB2312" w:hAnsi="仿宋_GB2312" w:cs="仿宋_GB2312" w:eastAsia="仿宋_GB2312"/>
              </w:rPr>
              <w:t>一、评审内容 根据项目实际需求，提供管理机构及制度。内容包含：①各岗位管理制度；②自查制度；③奖惩考核机制；④安全防范；⑤卫生保障；⑥服务态度、服务时间；⑦消杀管理；⑧服务时间；⑨食堂库房管理。 二、评审标准 1、完整性：方案须全面，对评审内容中的各项要求描述详细； 2、可实施性：切合本项目实际情况，实施步骤清晰、合理； 3、针对性：方案能够紧扣项目实际情况，内容科学合理。 三、赋分依据（满分15分） ①各岗位管理制度：每完全满足一个评审标准得 0.5分，满分1.5分； ②自查制度:每完全满足一个评审标准得 0.5分，满分1.5分； ③奖惩考核机制:每完全满足一个评审标准得 0.5分，满分1.5分。 ④安全防范:每完全满足一个评审标准得 0.5分，满分1.5分； ⑤卫生保障:每完全满足一个评审标准得 1分，满分3分； ⑥服务态度：每完全满足一个评审标准得 0.5分，满分1.5分； ⑦消杀管理：每完全满足一个评审标准得 0.5分，满分1.5分； ⑧服务时间:每完全满足一个评审标准得 0.5分，满分1.5分； ⑨食堂库房管理:每完全满足一个评审标准得 0.5分，满分1.5分。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商务部分-业绩</w:t>
            </w:r>
          </w:p>
        </w:tc>
        <w:tc>
          <w:tcPr>
            <w:tcW w:type="dxa" w:w="2492"/>
          </w:tcPr>
          <w:p>
            <w:pPr>
              <w:pStyle w:val="null3"/>
            </w:pPr>
            <w:r>
              <w:rPr>
                <w:rFonts w:ascii="仿宋_GB2312" w:hAnsi="仿宋_GB2312" w:cs="仿宋_GB2312" w:eastAsia="仿宋_GB2312"/>
              </w:rPr>
              <w:t>提供投标人2022年1月至今（时间以合同签订时间为准）类似项目业绩，每份2.5分，不提供不得分。 备注：需提供完整业绩合同，并加盖投标人公章。</w:t>
            </w:r>
          </w:p>
        </w:tc>
        <w:tc>
          <w:tcPr>
            <w:tcW w:type="dxa" w:w="831"/>
          </w:tcPr>
          <w:p>
            <w:pPr>
              <w:pStyle w:val="null3"/>
              <w:jc w:val="right"/>
            </w:pPr>
            <w:r>
              <w:rPr>
                <w:rFonts w:ascii="仿宋_GB2312" w:hAnsi="仿宋_GB2312" w:cs="仿宋_GB2312" w:eastAsia="仿宋_GB2312"/>
              </w:rPr>
              <w:t>2.5000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技术部分-质量保证方案</w:t>
            </w:r>
          </w:p>
        </w:tc>
        <w:tc>
          <w:tcPr>
            <w:tcW w:type="dxa" w:w="2492"/>
          </w:tcPr>
          <w:p>
            <w:pPr>
              <w:pStyle w:val="null3"/>
            </w:pPr>
            <w:r>
              <w:rPr>
                <w:rFonts w:ascii="仿宋_GB2312" w:hAnsi="仿宋_GB2312" w:cs="仿宋_GB2312" w:eastAsia="仿宋_GB2312"/>
              </w:rPr>
              <w:t>一、评审内容 根据项目实际需求提供质量保证方案。内容包含：①环境与卫生；②安全执行标准、检验检查；③日常检查的措施；④食品品质新鲜。 二、评审标准 1、完整性：方案须全面，对评审内容中的各项要求描述详细； 2、针对性：方案能够紧扣项目实际情况，内容科学合理； 3、针对性：方案能够紧扣项目实际情况，内容科学合理。 三、赋分依据（满分24分） ①食品质量、安全与卫生：每完全满足一个评审标准得2分，满分6分； ②安全执行标准、检验检查：每完全满足一个评审标准得2分，满分6分； ③日常检查的措施：每完全满足一个评审标准得2分，满分6分； ④食品品质新鲜：每完全满足一个评审标准得2分，满分6分.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技术部分-应急方案</w:t>
            </w:r>
          </w:p>
        </w:tc>
        <w:tc>
          <w:tcPr>
            <w:tcW w:type="dxa" w:w="2492"/>
          </w:tcPr>
          <w:p>
            <w:pPr>
              <w:pStyle w:val="null3"/>
            </w:pPr>
            <w:r>
              <w:rPr>
                <w:rFonts w:ascii="仿宋_GB2312" w:hAnsi="仿宋_GB2312" w:cs="仿宋_GB2312" w:eastAsia="仿宋_GB2312"/>
              </w:rPr>
              <w:t>一、评审内容 根据项目实际需求提供应急方案。内容包含：①实施过程突发的紧急状况（包括但不限于食品和消防安全、生产安全、设备设施故障、人员更替、断水断电断气、食材等资源紧缺等突发事件）有合理化建议；②处理方式、措施及人员配备；③天气、车辆故障等突发事件；④配送或使用过程出现问题的应急预案及补救措。 二、评审标准 1、完整性：方案须全面，对评审内容中的各项要求描述详细； 2、可实施性：切合本项目实际情况，实施步骤清晰、合理； 3、针对性：方案能够紧扣项目实际情况，内容科学合理。 三、赋分依据（满分15分） ①实施过程突发的紧急状况有合理化建议：每完全满足一个评审标准得 2分，满分 6分； ②处理方式、措施及人员配备：每完全满足一个评审标准得1 分，满分 3分； ③天气、车辆故障等突发事件：每完全满足一个评审标准得 1 分，满分 3分； ④配送或使用过程出现问题的应急预案及补救措：每完全满足一个评审标准得1分，满分 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技术部分-菜品搭配与安全</w:t>
            </w:r>
          </w:p>
        </w:tc>
        <w:tc>
          <w:tcPr>
            <w:tcW w:type="dxa" w:w="2492"/>
          </w:tcPr>
          <w:p>
            <w:pPr>
              <w:pStyle w:val="null3"/>
            </w:pPr>
            <w:r>
              <w:rPr>
                <w:rFonts w:ascii="仿宋_GB2312" w:hAnsi="仿宋_GB2312" w:cs="仿宋_GB2312" w:eastAsia="仿宋_GB2312"/>
              </w:rPr>
              <w:t>一、评审内容 针对本项目的菜品搭配与食品安全，主要内容包括：①就餐品种；②搭配方案合理；③营养均衡。 二、评审标准 1、完整性：方案须全面，对评审内容中的各项要求描述详细； 2、可实施性：切合本项目实际情况，实施步骤清晰、合理； 3、针对性：方案能够紧扣项目实际情况，内容科学合理。 三、赋分依据（满分15分） ①就餐品种：每完全满足一个评审标准得 1 分，满分 3分； ②搭配方案合理：每完全满足一个评审标准得 2分，满分 6分； ③营养均衡：每完全满足一个评审标准得 2分，满分6分。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技术部分-时效保障措施</w:t>
            </w:r>
          </w:p>
        </w:tc>
        <w:tc>
          <w:tcPr>
            <w:tcW w:type="dxa" w:w="2492"/>
          </w:tcPr>
          <w:p>
            <w:pPr>
              <w:pStyle w:val="null3"/>
            </w:pPr>
            <w:r>
              <w:rPr>
                <w:rFonts w:ascii="仿宋_GB2312" w:hAnsi="仿宋_GB2312" w:cs="仿宋_GB2312" w:eastAsia="仿宋_GB2312"/>
              </w:rPr>
              <w:t>一、评审内容 针对本项目的时效保障措施，内容包括：①总体进度安排；②制作时间计划；③响应的及时性。 二、评审标准 1、完整性：方案须全面，对评审内容中的各项要求描述详细； 2、可实施性：切合本项目实际情况，实施步骤清晰、合理； 3、针对性：方案能够紧扣项目实际情况，内容科学合理。 三、赋分依据（满分 9分） ①总体进度安排：每完全满足一个评审标准得 1 分，满分 3分； ②采买时间计划：每完全满足一个评审标准得 1分，满分 3分； ③响应的及时性：每完全满足一个评审标准得 1 分，满分 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技术部分-可行性建议</w:t>
            </w:r>
          </w:p>
        </w:tc>
        <w:tc>
          <w:tcPr>
            <w:tcW w:type="dxa" w:w="2492"/>
          </w:tcPr>
          <w:p>
            <w:pPr>
              <w:pStyle w:val="null3"/>
            </w:pPr>
            <w:r>
              <w:rPr>
                <w:rFonts w:ascii="仿宋_GB2312" w:hAnsi="仿宋_GB2312" w:cs="仿宋_GB2312" w:eastAsia="仿宋_GB2312"/>
              </w:rPr>
              <w:t>一、评审内容 根据项目实际需求提供可行性建议 二、评审标准 1、可实施性：切合本项目实际情况，实施步骤清晰、合理； 2、针对性：方案能够紧扣项目实际情况，内容科学合理。 三、赋分依据（满分2分） 可行性建议：每完全满足一个评审标准得1分，满分2分。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满足竞争性磋商文件要求且磋商下浮率最高的磋商报价为评标基准价， 其价格分为满分。其他供应商的价 格分统一按照下列公式计算：磋报价得分=（（1-下浮率）/有效报价 ) ×价格权重（10%）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详见附件：资格证明文件部分格式.docx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详见附件：响应报价表.docx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详见附件：改8-15餐厅劳务合同主要条款.docx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