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版本号：ZCSP-临渭区-2025-00147.9B220250915001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渭南市临渭区2025-2026学年度中小学（幼儿园）大宗食材采购项目(三次)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ZCSP-临渭区-2025-00147.9B2</w:t>
      </w:r>
      <w:r>
        <w:br/>
      </w:r>
      <w:r>
        <w:br/>
      </w:r>
      <w:r>
        <w:br/>
      </w:r>
    </w:p>
    <w:p>
      <w:pPr>
        <w:pStyle w:val="null3"/>
        <w:jc w:val="center"/>
        <w:outlineLvl w:val="2"/>
      </w:pPr>
      <w:r>
        <w:rPr>
          <w:rFonts w:ascii="仿宋_GB2312" w:hAnsi="仿宋_GB2312" w:cs="仿宋_GB2312" w:eastAsia="仿宋_GB2312"/>
          <w:sz w:val="28"/>
          <w:b/>
        </w:rPr>
        <w:t>渭南市临渭区学生资助和后勤管理中心</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渭南市临渭区学生资助和后勤管理中心</w:t>
      </w:r>
      <w:r>
        <w:rPr>
          <w:rFonts w:ascii="仿宋_GB2312" w:hAnsi="仿宋_GB2312" w:cs="仿宋_GB2312" w:eastAsia="仿宋_GB2312"/>
        </w:rPr>
        <w:t>委托，拟对</w:t>
      </w:r>
      <w:r>
        <w:rPr>
          <w:rFonts w:ascii="仿宋_GB2312" w:hAnsi="仿宋_GB2312" w:cs="仿宋_GB2312" w:eastAsia="仿宋_GB2312"/>
        </w:rPr>
        <w:t>渭南市临渭区2025-2026学年度中小学（幼儿园）大宗食材采购项目(三次)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ZCSP-临渭区-2025-00147.9B2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渭南市临渭区2025-2026学年度中小学（幼儿园）大宗食材采购项目(三次)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采购包1(肉类)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投标人授权合法的人员参加投标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企业资质：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投标人，不得参加本次采购项目。（投标人须提供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渭南市临渭区学生资助和后勤管理中心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陕西省渭南市临渭区胜利大街与仓程路十字西北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0913-2681210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陕西省渭南市临渭区四马路中段南侧仁和大厦前办公楼401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王帅棋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开户银行：中国邮政储蓄银行股份有限公司渭南市高新区支行</w:t>
            </w:r>
          </w:p>
          <w:p>
            <w:pPr>
              <w:pStyle w:val="null3"/>
            </w:pPr>
            <w:r>
              <w:rPr>
                <w:rFonts w:ascii="仿宋_GB2312" w:hAnsi="仿宋_GB2312" w:cs="仿宋_GB2312" w:eastAsia="仿宋_GB2312"/>
              </w:rPr>
              <w:t>银行账号：961058013000150490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费用:按照国家计委计价格【2002】1980号文件、《国家发展改革委员会办公厅关于招标代理服务收费有关问题的通知》(发改办价格(2003)857号)，以中标价为基准价计算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渭南市临渭区学生资助和后勤管理中心</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渭南市临渭区学生资助和后勤管理中心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渭南市临渭区学生资助和后勤管理中心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联系电话：0913-2104600</w:t>
      </w:r>
    </w:p>
    <w:p>
      <w:pPr>
        <w:pStyle w:val="null3"/>
      </w:pPr>
      <w:r>
        <w:rPr>
          <w:rFonts w:ascii="仿宋_GB2312" w:hAnsi="仿宋_GB2312" w:cs="仿宋_GB2312" w:eastAsia="仿宋_GB2312"/>
        </w:rPr>
        <w:t>地址：陕西省渭南市临渭区四马路中段南侧仁和大厦前办公楼401</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采购包1(肉类)</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标的名称：肉类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项目实施地点：</w:t>
            </w:r>
            <w:r>
              <w:rPr>
                <w:rFonts w:ascii="仿宋_GB2312" w:hAnsi="仿宋_GB2312" w:cs="仿宋_GB2312" w:eastAsia="仿宋_GB2312"/>
                <w:sz w:val="21"/>
              </w:rPr>
              <w:t>站南中心校、</w:t>
            </w:r>
            <w:r>
              <w:rPr>
                <w:rFonts w:ascii="仿宋_GB2312" w:hAnsi="仿宋_GB2312" w:cs="仿宋_GB2312" w:eastAsia="仿宋_GB2312"/>
                <w:sz w:val="21"/>
              </w:rPr>
              <w:t>三张中心校、</w:t>
            </w:r>
            <w:r>
              <w:rPr>
                <w:rFonts w:ascii="仿宋_GB2312" w:hAnsi="仿宋_GB2312" w:cs="仿宋_GB2312" w:eastAsia="仿宋_GB2312"/>
                <w:sz w:val="21"/>
              </w:rPr>
              <w:t>阎村中心校、</w:t>
            </w:r>
            <w:r>
              <w:rPr>
                <w:rFonts w:ascii="仿宋_GB2312" w:hAnsi="仿宋_GB2312" w:cs="仿宋_GB2312" w:eastAsia="仿宋_GB2312"/>
                <w:sz w:val="21"/>
              </w:rPr>
              <w:t>阳郭中心校；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质量要求：</w:t>
            </w:r>
            <w:r>
              <w:rPr>
                <w:rFonts w:ascii="仿宋_GB2312" w:hAnsi="仿宋_GB2312" w:cs="仿宋_GB2312" w:eastAsia="仿宋_GB2312"/>
                <w:sz w:val="21"/>
              </w:rPr>
              <w:t>符合国家现行技术规范合格标准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核心产品：猪肉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所有肉类</w:t>
            </w:r>
            <w:r>
              <w:rPr>
                <w:rFonts w:ascii="仿宋_GB2312" w:hAnsi="仿宋_GB2312" w:cs="仿宋_GB2312" w:eastAsia="仿宋_GB2312"/>
                <w:sz w:val="21"/>
              </w:rPr>
              <w:t>须符合食品安全国家标准</w:t>
            </w:r>
            <w:r>
              <w:rPr>
                <w:rFonts w:ascii="仿宋_GB2312" w:hAnsi="仿宋_GB2312" w:cs="仿宋_GB2312" w:eastAsia="仿宋_GB2312"/>
                <w:sz w:val="21"/>
              </w:rPr>
              <w:t>GB/T 9959</w:t>
            </w:r>
            <w:r>
              <w:rPr>
                <w:rFonts w:ascii="仿宋_GB2312" w:hAnsi="仿宋_GB2312" w:cs="仿宋_GB2312" w:eastAsia="仿宋_GB2312"/>
                <w:sz w:val="21"/>
              </w:rPr>
              <w:t>、</w:t>
            </w:r>
            <w:r>
              <w:rPr>
                <w:rFonts w:ascii="仿宋_GB2312" w:hAnsi="仿宋_GB2312" w:cs="仿宋_GB2312" w:eastAsia="仿宋_GB2312"/>
                <w:sz w:val="21"/>
              </w:rPr>
              <w:t>GB2707-2016</w:t>
            </w:r>
            <w:r>
              <w:rPr>
                <w:rFonts w:ascii="仿宋_GB2312" w:hAnsi="仿宋_GB2312" w:cs="仿宋_GB2312" w:eastAsia="仿宋_GB2312"/>
                <w:sz w:val="21"/>
              </w:rPr>
              <w:t>(</w:t>
            </w:r>
            <w:r>
              <w:rPr>
                <w:rFonts w:ascii="仿宋_GB2312" w:hAnsi="仿宋_GB2312" w:cs="仿宋_GB2312" w:eastAsia="仿宋_GB2312"/>
                <w:sz w:val="21"/>
              </w:rPr>
              <w:t>如标</w:t>
            </w:r>
            <w:r>
              <w:rPr>
                <w:rFonts w:ascii="仿宋_GB2312" w:hAnsi="仿宋_GB2312" w:cs="仿宋_GB2312" w:eastAsia="仿宋_GB2312"/>
                <w:sz w:val="21"/>
              </w:rPr>
              <w:t>准遇修订或废止，须保证不低于国家最新有效标准</w:t>
            </w:r>
            <w:r>
              <w:rPr>
                <w:rFonts w:ascii="仿宋_GB2312" w:hAnsi="仿宋_GB2312" w:cs="仿宋_GB2312" w:eastAsia="仿宋_GB2312"/>
                <w:sz w:val="21"/>
              </w:rPr>
              <w:t>)</w:t>
            </w:r>
            <w:r>
              <w:rPr>
                <w:rFonts w:ascii="仿宋_GB2312" w:hAnsi="仿宋_GB2312" w:cs="仿宋_GB2312" w:eastAsia="仿宋_GB2312"/>
                <w:sz w:val="21"/>
              </w:rPr>
              <w:t>，质量优良、渠道正当，</w:t>
            </w:r>
            <w:r>
              <w:rPr>
                <w:rFonts w:ascii="仿宋_GB2312" w:hAnsi="仿宋_GB2312" w:cs="仿宋_GB2312" w:eastAsia="仿宋_GB2312"/>
                <w:sz w:val="21"/>
              </w:rPr>
              <w:t>所投产品均须为市面销售产品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供应商应提供食材的检验报告等相关质量证明文件</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所送</w:t>
            </w:r>
            <w:r>
              <w:rPr>
                <w:rFonts w:ascii="仿宋_GB2312" w:hAnsi="仿宋_GB2312" w:cs="仿宋_GB2312" w:eastAsia="仿宋_GB2312"/>
                <w:sz w:val="21"/>
              </w:rPr>
              <w:t>产品</w:t>
            </w:r>
            <w:r>
              <w:rPr>
                <w:rFonts w:ascii="仿宋_GB2312" w:hAnsi="仿宋_GB2312" w:cs="仿宋_GB2312" w:eastAsia="仿宋_GB2312"/>
                <w:sz w:val="21"/>
              </w:rPr>
              <w:t>品质、等级等与检验报告等佐证材料上载明的一致。</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采购内容及要求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1）采购内容</w:t>
            </w:r>
          </w:p>
          <w:p>
            <w:pPr>
              <w:pStyle w:val="null3"/>
              <w:jc w:val="both"/>
            </w:pPr>
            <w:r>
              <w:rPr>
                <w:rFonts w:ascii="仿宋_GB2312" w:hAnsi="仿宋_GB2312" w:cs="仿宋_GB2312" w:eastAsia="仿宋_GB2312"/>
                <w:sz w:val="21"/>
                <w:b/>
              </w:rPr>
              <w:t>猪肉、牛肉：</w:t>
            </w:r>
          </w:p>
          <w:p>
            <w:pPr>
              <w:pStyle w:val="null3"/>
              <w:jc w:val="both"/>
            </w:pPr>
            <w:r>
              <w:rPr>
                <w:rFonts w:ascii="仿宋_GB2312" w:hAnsi="仿宋_GB2312" w:cs="仿宋_GB2312" w:eastAsia="仿宋_GB2312"/>
                <w:sz w:val="21"/>
              </w:rPr>
              <w:t>1.来源于生猪、牛定点屠宰企业的冷鲜肉</w:t>
            </w:r>
            <w:r>
              <w:rPr>
                <w:rFonts w:ascii="仿宋_GB2312" w:hAnsi="仿宋_GB2312" w:cs="仿宋_GB2312" w:eastAsia="仿宋_GB2312"/>
                <w:sz w:val="21"/>
              </w:rPr>
              <w:t>，供货时须提交当批次有效的动物检疫合格证复印件，不能是冻肉，必须新鲜无变质。</w:t>
            </w:r>
          </w:p>
          <w:p>
            <w:pPr>
              <w:pStyle w:val="null3"/>
              <w:jc w:val="both"/>
            </w:pPr>
            <w:r>
              <w:rPr>
                <w:rFonts w:ascii="仿宋_GB2312" w:hAnsi="仿宋_GB2312" w:cs="仿宋_GB2312" w:eastAsia="仿宋_GB2312"/>
                <w:sz w:val="21"/>
              </w:rPr>
              <w:t>2.符合食品安全溯源管理要求；</w:t>
            </w:r>
          </w:p>
          <w:p>
            <w:pPr>
              <w:pStyle w:val="null3"/>
              <w:jc w:val="both"/>
            </w:pPr>
            <w:r>
              <w:rPr>
                <w:rFonts w:ascii="仿宋_GB2312" w:hAnsi="仿宋_GB2312" w:cs="仿宋_GB2312" w:eastAsia="仿宋_GB2312"/>
                <w:sz w:val="21"/>
              </w:rPr>
              <w:t>3.无槽头肉和血刀肉；无残留毛绒，不带长短毛；不带浮毛、凝血块、胆污、粪污及其他污染物；</w:t>
            </w:r>
          </w:p>
          <w:p>
            <w:pPr>
              <w:pStyle w:val="null3"/>
              <w:jc w:val="both"/>
            </w:pPr>
            <w:r>
              <w:rPr>
                <w:rFonts w:ascii="仿宋_GB2312" w:hAnsi="仿宋_GB2312" w:cs="仿宋_GB2312" w:eastAsia="仿宋_GB2312"/>
                <w:sz w:val="21"/>
              </w:rPr>
              <w:t>4.气味：气味正常。煮沸后肉汤透明澄清，脂肪团聚于液面，具有鲜肉香味；</w:t>
            </w:r>
          </w:p>
          <w:p>
            <w:pPr>
              <w:pStyle w:val="null3"/>
              <w:jc w:val="both"/>
            </w:pPr>
            <w:r>
              <w:rPr>
                <w:rFonts w:ascii="仿宋_GB2312" w:hAnsi="仿宋_GB2312" w:cs="仿宋_GB2312" w:eastAsia="仿宋_GB2312"/>
                <w:sz w:val="21"/>
              </w:rPr>
              <w:t>5.色泽：肌肉色泽鲜红或深红，有光泽；</w:t>
            </w:r>
          </w:p>
          <w:p>
            <w:pPr>
              <w:pStyle w:val="null3"/>
              <w:jc w:val="both"/>
            </w:pPr>
            <w:r>
              <w:rPr>
                <w:rFonts w:ascii="仿宋_GB2312" w:hAnsi="仿宋_GB2312" w:cs="仿宋_GB2312" w:eastAsia="仿宋_GB2312"/>
                <w:sz w:val="21"/>
              </w:rPr>
              <w:t>6.不得提供冷冻肉类，不得以肉制品代替鲜肉；</w:t>
            </w:r>
          </w:p>
          <w:p>
            <w:pPr>
              <w:pStyle w:val="null3"/>
              <w:jc w:val="both"/>
            </w:pPr>
            <w:r>
              <w:rPr>
                <w:rFonts w:ascii="仿宋_GB2312" w:hAnsi="仿宋_GB2312" w:cs="仿宋_GB2312" w:eastAsia="仿宋_GB2312"/>
                <w:sz w:val="21"/>
              </w:rPr>
              <w:t>7.所供货物应保持较好的外观和质量等级，保证无异味、无霉烂变质，保证来源于正规。</w:t>
            </w:r>
          </w:p>
          <w:p>
            <w:pPr>
              <w:pStyle w:val="null3"/>
              <w:jc w:val="both"/>
            </w:pPr>
            <w:r>
              <w:rPr>
                <w:rFonts w:ascii="仿宋_GB2312" w:hAnsi="仿宋_GB2312" w:cs="仿宋_GB2312" w:eastAsia="仿宋_GB2312"/>
                <w:sz w:val="21"/>
                <w:b/>
              </w:rPr>
              <w:t>鸡肉：</w:t>
            </w:r>
          </w:p>
          <w:p>
            <w:pPr>
              <w:pStyle w:val="null3"/>
              <w:jc w:val="both"/>
            </w:pPr>
            <w:r>
              <w:rPr>
                <w:rFonts w:ascii="仿宋_GB2312" w:hAnsi="仿宋_GB2312" w:cs="仿宋_GB2312" w:eastAsia="仿宋_GB2312"/>
                <w:sz w:val="21"/>
              </w:rPr>
              <w:t>具有该品种应有的外形特征，大小符合要求，表皮有光泽；外表微干或微湿润，不粘手，指压后的凹陷立即恢复，具有鲜鸡肉正常气味，淤血斑无或极少，无异味、无注水、无破皮，鸡关节不能有骨折和因骨折破皮而使骨头外露。</w:t>
            </w:r>
          </w:p>
          <w:p>
            <w:pPr>
              <w:pStyle w:val="null3"/>
              <w:jc w:val="both"/>
            </w:pPr>
            <w:r>
              <w:rPr>
                <w:rFonts w:ascii="仿宋_GB2312" w:hAnsi="仿宋_GB2312" w:cs="仿宋_GB2312" w:eastAsia="仿宋_GB2312"/>
                <w:sz w:val="21"/>
                <w:b/>
              </w:rPr>
              <w:t>所有肉类均必须符合国家动物检疫合格产品质量标准，肉类源于非疫区，肉表皮无杂毛，并有动物防疫监督机构的检疫证明。提供产品检验报告；肉身有防疫标识，每批次有检验检疫报告。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2）具体货物数量及供货时间以学校要求为准。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1）合同价格包括：采购货物的供应费、运杂费（含仓储费、运输费、保险费、装卸费）、抽检费等其他有关各项含税全部费用。</w:t>
            </w:r>
          </w:p>
          <w:p>
            <w:pPr>
              <w:pStyle w:val="null3"/>
              <w:ind w:firstLine="420"/>
              <w:jc w:val="both"/>
            </w:pPr>
            <w:r>
              <w:rPr>
                <w:rFonts w:ascii="仿宋_GB2312" w:hAnsi="仿宋_GB2312" w:cs="仿宋_GB2312" w:eastAsia="仿宋_GB2312"/>
                <w:sz w:val="21"/>
              </w:rPr>
              <w:t>结算时，以基准价</w:t>
            </w:r>
            <w:r>
              <w:rPr>
                <w:rFonts w:ascii="仿宋_GB2312" w:hAnsi="仿宋_GB2312" w:cs="仿宋_GB2312" w:eastAsia="仿宋_GB2312"/>
                <w:sz w:val="21"/>
              </w:rPr>
              <w:t>*(1-下浮率)*实际供应量进行据实结算（下浮率为所有肉类统一下浮率）。</w:t>
            </w:r>
          </w:p>
          <w:p>
            <w:pPr>
              <w:pStyle w:val="null3"/>
              <w:ind w:firstLine="420"/>
              <w:jc w:val="both"/>
            </w:pPr>
            <w:r>
              <w:rPr>
                <w:rFonts w:ascii="仿宋_GB2312" w:hAnsi="仿宋_GB2312" w:cs="仿宋_GB2312" w:eastAsia="仿宋_GB2312"/>
                <w:sz w:val="21"/>
              </w:rPr>
              <w:t>基准价确定方式：定期由供应商、城乡各</w:t>
            </w:r>
            <w:r>
              <w:rPr>
                <w:rFonts w:ascii="仿宋_GB2312" w:hAnsi="仿宋_GB2312" w:cs="仿宋_GB2312" w:eastAsia="仿宋_GB2312"/>
                <w:sz w:val="21"/>
              </w:rPr>
              <w:t>3-5所学校市场询价后汇总，参照渭南市商务局当月公布的《生活必需品价格涨跌互现》，由后勤管理中心组织供应商及询价学校磋商，共同决定基准价格。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2）支付约定：供应商应于次月5日前将上月（自然月）双方签字确认的验收证明材料、货物清单及开具的正式发票，送学校确认，学校按照合同约定支付货款。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3）供货期内，采购人将会同相关部门不定期对供应商所供产品进行质量抽样检测，抽检费用由供应商承担；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须接受、配合临渭区相关部门对学校食材供应工作的日常管理与监督。对供应食材的相关资料必须有专人负责保管，严守职业道德，保守项目商业秘密和工作秘密，遵守工作纪律和相关职业规定，不得泄露与学校等相关部门单位、项目相关的任何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5）供应商须同时遵守渭南市临渭区学生资助和后勤管理中心学校食堂食材供应商退出机制制度和在采购活动具体实施过程中采购人根据实际情况调整的供应商管理办法。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6）在产品质保期内出现的质量问题由供应商负责解决并承担所有费用。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（2025年10月—2026年7月），具体货物数量及供货时间以学校要求为准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站南中心校、三张中心校、阎村中心校、阳郭中心校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供应商次月5日前将上月（自然月）双方签字确认的验收证明材料、货物清单及开具的正式发票，送学校确认，学校按照合同约定支付货款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各供应商供应食材质量采取分阶段考评，第一阶段为渭南市临渭区学生后勤管理服务中心对中标供应商进行现场考察，查看供应商日常物资储备、卫生安全等情况，如发现投标文件提供虚假证明材料与实际情况不符，则取消其中标资格并上报相关部门。第二阶段为学校对中标供应商供应食材质量考核；第三阶段由渭南市临渭区教育体育局完成综合考评。 验收：采取现场验收的方式，供应商供应的货物配送到指定地点时，先提交货物供应清单（货物名称、数量、日期等）加盖公司红色印章的复印件，由学校相关人员现场验收，并对每批次货物进行留样检验（留样产品不计入结算），验收合格后，共同签署配送单，双方验收人员应认真检查货物的质量，按索票——验证——抽查——入库的程序完成验收，若供应商不按照以上程序完成验收及提供相关票据及清单的，学校有权拒收货物，供应商承担一切责任；供应商所供货物现场验收不合格，该批次产品不得用于“产品采购”，供应商必须立即重新组织货源供应，但不得影响学校使用。 （2）供应商配送货物时，出现产品质量问题或者超过使用日期的货物，学校有权拒绝接收。 （3）验收依据： ①合同文本、合同附件、招标文件、投标文件等。 ②国家标准规范“合格”标准。 （4）货物验收时发现问题的处理办法 ①商品数量、克重、次品、包装破损等不合格产品都予以拒收。 ②供应商不能完整交付商品及单证的，必须负责补齐。否则视为未按合同约定交货。 ③因质量问题引起的一切责任事故，均由供应商全权负责，采购人及学校不承担任何责任。 ④产品包装上必须有完好的生产厂家、规格、质保期、出厂日期等有效信息，否则将其视为“三无”产品而拒绝接收。 ⑤供应商必须按照学校人员通知的时间、数量、品种、品质要求准时送货，经验收合格后签字确认，不能以任何理由推脱，一旦影响到学生的正常生活，供应商应承担相应的经济赔偿。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（1）供应商应具备项目实施所需的人力、物力、财力等条件，确保产品能够按时、保质运送至采购人指定地点。有固定的符合相关指标要求的经营场所、有符合食品安全运输标准的运输车辆。 （2）供应商有具体的配送管理制度和管理办法：制定合理、可行的项目实施方案及各种突发情况（市场供求变化、天气、车辆故障等）的应急预案，能够在承诺的时间内按期交货，并按照采购人要求将产品运送至指定位置，不得拒绝为规模较小的学校供货。 （3）能满足学校的配送要求，承诺最短响应时间，对服务期内所提供产品食品安全、质量等方面具有详细的服务承诺及保证措施。 （4）所有供应商必须按照学校要求的种类、规格进行供货，保质保量，准时准点配送，满足学校需求。所有食材配送服务均以学校通知为准，学校有权根据实际需求量调整采购计划及供货时间段； （5）供应商自备送货车（冷藏或恒温），安排专人及时供货，装卸费、送货费用及运输安全由供应商承担； （6）特殊情况下，学校需要的小批量的急用物资，供应商应予以满足解决； （7）肉类应使用制冷效果达标的冷藏车，确保运输途中温度控制在0℃-4℃，并保证卫生及安全质量。 （8）供应商不得将配送工作进行任何方式的转包或分包。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本次采购的全部内容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（1）按照《中华人民共和国民法典》中的相关条款执行。 （2）未按合同要求提供服务或服务质量不能满足合同要求，采购人有权依据《中华人民共和国民法典》有关条款及合同约定终止合同，并要求供应商承担违约责任。 （3）在项目实施过程中，供应商负责按时将产品配送到规定配送点，学校将每季度对各供应商进行一次评价，若出现以下问题，采购人有权终止其供货资格：因产品质量问题出现安全事故；违反供货协议；服务态度不符合要求且整改不力。 （4）供应商负责供应产品的质量、卫生安全。配送不符合国家卫生安全和质量安全标准的产品，造成中毒事件或其他食源性疾病发生，将依照有关法律规定进行严肃处理并取消其供货资格。产品出现质量问题（质量问题包括：变质、霉变、污染、劣质、以次充好的产品、生产日期不明、保质期不明等），由供应商负责赔偿因此引发的一切损失，承担由此导致的一切后果（一切损失和后果包括：实物、人力、财力及由此引发的一系列损失和遗留问题）。 （5）供应商如违法违规经营，被政府有关部门通报或媒体曝光的、出现严重违反《中华人民共和国食品安全法》行为的或在供货过程中出现无实际配送能力等情况时，采购人有权单方解除本合同。 （6）供应商有哄抬、欺诈价格行为的，采购人有权单方解除合同，并终止供应商的配送资格。 （7）供应商要自觉接受采购人等相关部门检查，若检查中发现有重大食品安全隐患且不予纠正的，采购人有权单方解除供应商合同，并终止供应商的配送资格。 （8）供货期内，采购人将会同相关部门不定期对每位入围供应商所供每种产品进行质量抽样检测，抽检费用由供应商承担。若检测结果不合格，采购人有权先按照民法典相关规定追究其供应商违约责任并索赔，单方面终止采购合同，并将其违约行为报监管部门。供应商供货不及时、出现不能按需供货，按照民法典相关规定追究其供应商违约责任并索赔。 （9）供应商必须自主经营，如发现有其他单位或者个人借用供应商企业准入供应资质或供应商委托他人向学校食堂供货的，一经查实，采购人有权单方终止合同，终止供应商配送资格。 （10）本项目为质量责任终身制，凡因产品质量问题出现重大安全事故或严重的社会不良影响的，采购人有权停止合同履行并可以针对因质量问题造成的损失进行索赔。 （11）供应商因上述行为或其他违约行为，应承担由此产生的全部损失和法律责任。 2、解决争议的方式： 执行本合同中产生纠纷，由采购人与供应商双方协商解决；协商不成，向有管辖权的人民法院提起诉讼。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项目最小投标单位为“包”，同一投标人可同时参与多个包的投标，但同一投标人最多只能中标一个包。评标时按包号顺序依次评审。前一包中标则后面的采购包将不作为中标候选人推荐，相应顺延。2、中标供应商在中标结果公告发布后3个工作日内提供两套纸质投标文件（经编标工具生成的文件直接打印并加盖公章），递交的纸质版文件内容确保与线上电子文件保持一致，不允许修改和补充。3、多家投标人提供核心产品品牌相同，按照投标人须知前附表第7条规定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由资格审查小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牲畜定点屠宰证（生猪）》、《牲畜定点屠宰证（牛）》、《动物防疫条件合格证》；投标人为代理商的须提供《食品经营许可证》或《生鲜肉经营备案表》，并提供所代理产品生产厂家的《牲畜定点屠宰证（生猪）》、《牲畜定点屠宰证（牛）》、《动物防疫条件合格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投标人须提供书面声明）。</w:t>
            </w:r>
          </w:p>
        </w:tc>
        <w:tc>
          <w:tcPr>
            <w:tcW w:type="dxa" w:w="1661"/>
          </w:tcPr>
          <w:p>
            <w:pPr>
              <w:pStyle w:val="null3"/>
            </w:pPr>
            <w:r>
              <w:rPr>
                <w:rFonts w:ascii="仿宋_GB2312" w:hAnsi="仿宋_GB2312" w:cs="仿宋_GB2312" w:eastAsia="仿宋_GB2312"/>
              </w:rPr>
              <w:t>资格证明材料相关附件.docx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投标人名称应与营业执照、事业单位法人证书、自然人须提供身份证明等证明资料一致。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资格证明材料相关附件.docx （肉类）分项清单表.docx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产品技术参数表 投标函 （肉类）分项清单表.docx 商务应答表 标的清单 服务方案.docx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包括：①整体配送方案②供货进度及时效性保障措施③食材安全保障措施④产品出入库及退换货措施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每一项评审内容完全满足评审标准得5分，满分20分；每一项评审内容存在一处缺陷扣1分，扣完为止；未提供不得分。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（1）评审内容： 包括：①产品来源（包含但不限于厂家销售协议，产品授权等）②质量控制方案（供应商提供相关产品检测报告和方案）③内部质量管理控制制度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（1）评审内容： 包括：①人员管理制度②拟派人员名单及岗位职责（提供人员身份证及健康证等证件）；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提供符合安全运输标准的车辆，每提供1辆得1分，满分3分；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投标人须提供符合食材仓储环境场地的证明材料满足要求得2分 注:仓储库房为自有的，提供产权证明材料及场所照片；为租赁的，提供租赁合同及场所照片。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2020年7月1日至今类似项目业绩合同（以合同签订时间为准），每提供1份计2分，满分10分。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价格得分采用低价优先法计算，即满足招标文件要求且报价（下浮率）最高投标人的价格为评标基准价，其价格得分为满分。其他投标人的价格得分统一按照下列公式计算： 投标报价得分=（（1-基准价）/（1-各投标单位报价））×价格权值（30%）×100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（肉类）分项清单表.docx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详见附件：（肉类）分项清单表.docx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