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F0B426">
      <w:pPr>
        <w:spacing w:line="360" w:lineRule="auto"/>
        <w:jc w:val="center"/>
        <w:rPr>
          <w:rFonts w:hint="eastAsia"/>
          <w:spacing w:val="12"/>
        </w:rPr>
      </w:pPr>
      <w:r>
        <w:rPr>
          <w:rFonts w:hint="eastAsia"/>
          <w:spacing w:val="12"/>
        </w:rPr>
        <w:t>注：本合同仅为合同的参考文本，合同签订双方可根据项目的具体要求进行修订。</w:t>
      </w:r>
    </w:p>
    <w:p w14:paraId="2D9A59AB">
      <w:pPr>
        <w:pStyle w:val="4"/>
        <w:spacing w:line="360" w:lineRule="auto"/>
        <w:ind w:left="0" w:leftChars="0" w:firstLine="0" w:firstLineChars="0"/>
        <w:jc w:val="center"/>
        <w:rPr>
          <w:rFonts w:hint="eastAsia" w:ascii="黑体" w:hAnsi="黑体" w:eastAsia="黑体" w:cs="黑体"/>
          <w:kern w:val="2"/>
          <w:sz w:val="48"/>
          <w:szCs w:val="48"/>
          <w:lang w:val="en-US" w:eastAsia="zh-CN" w:bidi="ar-SA"/>
        </w:rPr>
      </w:pPr>
    </w:p>
    <w:p w14:paraId="7CD1CD38">
      <w:pPr>
        <w:pStyle w:val="4"/>
        <w:spacing w:line="360" w:lineRule="auto"/>
        <w:ind w:left="0" w:leftChars="0" w:firstLine="0" w:firstLineChars="0"/>
        <w:jc w:val="both"/>
        <w:rPr>
          <w:rFonts w:hint="eastAsia" w:ascii="黑体" w:hAnsi="黑体" w:eastAsia="黑体" w:cs="黑体"/>
          <w:kern w:val="2"/>
          <w:sz w:val="48"/>
          <w:szCs w:val="48"/>
          <w:lang w:val="en-US" w:eastAsia="zh-CN" w:bidi="ar-SA"/>
        </w:rPr>
      </w:pPr>
    </w:p>
    <w:p w14:paraId="67C86883">
      <w:pPr>
        <w:pStyle w:val="4"/>
        <w:spacing w:line="360" w:lineRule="auto"/>
        <w:ind w:left="0" w:leftChars="0" w:firstLine="0" w:firstLineChars="0"/>
        <w:jc w:val="both"/>
        <w:rPr>
          <w:rFonts w:hint="eastAsia" w:ascii="黑体" w:hAnsi="黑体" w:eastAsia="黑体" w:cs="黑体"/>
          <w:kern w:val="2"/>
          <w:sz w:val="48"/>
          <w:szCs w:val="48"/>
          <w:lang w:val="en-US" w:eastAsia="zh-CN" w:bidi="ar-SA"/>
        </w:rPr>
      </w:pPr>
    </w:p>
    <w:p w14:paraId="0662FAFD">
      <w:pPr>
        <w:jc w:val="center"/>
        <w:rPr>
          <w:rFonts w:hint="eastAsia"/>
          <w:color w:val="000000"/>
        </w:rPr>
      </w:pPr>
      <w:r>
        <w:rPr>
          <w:rFonts w:hint="eastAsia" w:ascii="宋体" w:hAnsi="宋体"/>
          <w:b/>
          <w:bCs/>
          <w:color w:val="000000"/>
          <w:sz w:val="44"/>
          <w:szCs w:val="44"/>
          <w:lang w:val="en-US" w:eastAsia="zh-CN"/>
        </w:rPr>
        <w:t>2025年临渭区葡萄产业园葡萄汁生产线项目</w:t>
      </w:r>
    </w:p>
    <w:p w14:paraId="43ECFDEC">
      <w:pPr>
        <w:pStyle w:val="2"/>
        <w:rPr>
          <w:rFonts w:hint="eastAsia"/>
          <w:color w:val="000000"/>
        </w:rPr>
      </w:pPr>
    </w:p>
    <w:p w14:paraId="744CA143">
      <w:pPr>
        <w:rPr>
          <w:rFonts w:hint="eastAsia"/>
          <w:sz w:val="72"/>
          <w:szCs w:val="72"/>
        </w:rPr>
      </w:pPr>
    </w:p>
    <w:p w14:paraId="40B6A9C5">
      <w:pPr>
        <w:spacing w:line="360" w:lineRule="auto"/>
        <w:jc w:val="center"/>
        <w:rPr>
          <w:rFonts w:hint="eastAsia" w:ascii="宋体" w:hAnsi="宋体"/>
          <w:b/>
          <w:bCs/>
          <w:color w:val="000000"/>
          <w:spacing w:val="12"/>
          <w:sz w:val="56"/>
          <w:szCs w:val="56"/>
        </w:rPr>
      </w:pPr>
      <w:r>
        <w:rPr>
          <w:rFonts w:hint="eastAsia" w:ascii="宋体" w:hAnsi="宋体"/>
          <w:b/>
          <w:bCs/>
          <w:color w:val="000000"/>
          <w:spacing w:val="12"/>
          <w:sz w:val="56"/>
          <w:szCs w:val="56"/>
        </w:rPr>
        <w:t>政府采购合同</w:t>
      </w:r>
    </w:p>
    <w:p w14:paraId="2494EA84">
      <w:pPr>
        <w:spacing w:line="360" w:lineRule="auto"/>
        <w:jc w:val="center"/>
        <w:rPr>
          <w:rFonts w:hint="eastAsia" w:ascii="宋体" w:hAnsi="宋体"/>
          <w:color w:val="000000"/>
          <w:spacing w:val="12"/>
          <w:sz w:val="44"/>
          <w:szCs w:val="44"/>
        </w:rPr>
      </w:pPr>
      <w:r>
        <w:rPr>
          <w:rFonts w:hint="eastAsia" w:ascii="宋体" w:hAnsi="宋体"/>
          <w:color w:val="000000"/>
          <w:spacing w:val="12"/>
          <w:sz w:val="32"/>
          <w:szCs w:val="32"/>
        </w:rPr>
        <w:t xml:space="preserve">                   </w:t>
      </w:r>
    </w:p>
    <w:p w14:paraId="5E6E40AE">
      <w:pPr>
        <w:spacing w:line="360" w:lineRule="auto"/>
        <w:ind w:firstLine="516" w:firstLineChars="150"/>
        <w:rPr>
          <w:rFonts w:ascii="宋体" w:hAnsi="宋体"/>
          <w:color w:val="000000"/>
          <w:spacing w:val="12"/>
          <w:sz w:val="32"/>
          <w:szCs w:val="32"/>
        </w:rPr>
      </w:pPr>
    </w:p>
    <w:p w14:paraId="1898ADC0">
      <w:pPr>
        <w:rPr>
          <w:rFonts w:hint="eastAsia" w:ascii="宋体" w:hAnsi="宋体"/>
          <w:color w:val="000000"/>
          <w:spacing w:val="12"/>
          <w:sz w:val="32"/>
          <w:szCs w:val="32"/>
        </w:rPr>
      </w:pPr>
    </w:p>
    <w:p w14:paraId="21D65BC2">
      <w:pPr>
        <w:rPr>
          <w:rFonts w:hint="eastAsia" w:ascii="宋体" w:hAnsi="宋体"/>
          <w:color w:val="000000"/>
          <w:spacing w:val="12"/>
          <w:sz w:val="32"/>
          <w:szCs w:val="32"/>
        </w:rPr>
      </w:pPr>
    </w:p>
    <w:p w14:paraId="48967A0E">
      <w:pPr>
        <w:rPr>
          <w:rFonts w:ascii="宋体" w:hAnsi="宋体"/>
          <w:color w:val="000000"/>
        </w:rPr>
      </w:pPr>
    </w:p>
    <w:p w14:paraId="08A4E728">
      <w:pPr>
        <w:pStyle w:val="4"/>
        <w:rPr>
          <w:rFonts w:hint="eastAsia"/>
          <w:color w:val="000000"/>
        </w:rPr>
      </w:pPr>
    </w:p>
    <w:p w14:paraId="4A229DEA">
      <w:pPr>
        <w:pStyle w:val="11"/>
        <w:rPr>
          <w:rFonts w:hint="eastAsia"/>
          <w:color w:val="000000"/>
        </w:rPr>
      </w:pPr>
    </w:p>
    <w:p w14:paraId="62CC2545">
      <w:pPr>
        <w:rPr>
          <w:rFonts w:hint="eastAsia"/>
          <w:color w:val="000000"/>
        </w:rPr>
      </w:pPr>
    </w:p>
    <w:p w14:paraId="3BBEAD4C">
      <w:pPr>
        <w:rPr>
          <w:rFonts w:hint="eastAsia"/>
        </w:rPr>
      </w:pPr>
    </w:p>
    <w:p w14:paraId="7C0B5273">
      <w:pPr>
        <w:rPr>
          <w:rFonts w:hint="eastAsia"/>
        </w:rPr>
      </w:pPr>
    </w:p>
    <w:p w14:paraId="345DCE97">
      <w:pPr>
        <w:pStyle w:val="5"/>
        <w:rPr>
          <w:rFonts w:hint="eastAsia"/>
        </w:rPr>
      </w:pPr>
    </w:p>
    <w:p w14:paraId="7FDB0415">
      <w:pPr>
        <w:keepNext w:val="0"/>
        <w:keepLines w:val="0"/>
        <w:pageBreakBefore w:val="0"/>
        <w:widowControl w:val="0"/>
        <w:kinsoku/>
        <w:wordWrap/>
        <w:overflowPunct/>
        <w:topLinePunct w:val="0"/>
        <w:autoSpaceDE/>
        <w:autoSpaceDN/>
        <w:bidi w:val="0"/>
        <w:adjustRightInd/>
        <w:snapToGrid/>
        <w:spacing w:line="720" w:lineRule="auto"/>
        <w:jc w:val="center"/>
        <w:textAlignment w:val="auto"/>
        <w:rPr>
          <w:rFonts w:hint="eastAsia" w:ascii="宋体" w:hAnsi="宋体" w:eastAsia="宋体" w:cs="Times New Roman"/>
          <w:b/>
          <w:bCs/>
          <w:color w:val="000000"/>
          <w:spacing w:val="12"/>
          <w:sz w:val="32"/>
          <w:szCs w:val="32"/>
          <w:lang w:val="en-US" w:eastAsia="zh-CN"/>
        </w:rPr>
      </w:pPr>
      <w:r>
        <w:rPr>
          <w:rFonts w:hint="eastAsia" w:ascii="宋体" w:hAnsi="宋体"/>
          <w:b/>
          <w:bCs/>
          <w:color w:val="000000"/>
          <w:spacing w:val="12"/>
          <w:sz w:val="32"/>
          <w:szCs w:val="32"/>
          <w:lang w:val="en-US" w:eastAsia="zh-CN"/>
        </w:rPr>
        <w:t>采购人</w:t>
      </w:r>
      <w:r>
        <w:rPr>
          <w:rFonts w:hint="eastAsia" w:ascii="宋体" w:hAnsi="宋体"/>
          <w:b/>
          <w:bCs/>
          <w:color w:val="000000"/>
          <w:spacing w:val="12"/>
          <w:sz w:val="32"/>
          <w:szCs w:val="32"/>
        </w:rPr>
        <w:t>：渭南葡萄产业园管理委员</w:t>
      </w:r>
      <w:r>
        <w:rPr>
          <w:rFonts w:hint="eastAsia" w:ascii="宋体" w:hAnsi="宋体"/>
          <w:b/>
          <w:bCs/>
          <w:color w:val="000000"/>
          <w:spacing w:val="12"/>
          <w:sz w:val="32"/>
          <w:szCs w:val="32"/>
          <w:lang w:val="en-US" w:eastAsia="zh-CN"/>
        </w:rPr>
        <w:t>会</w:t>
      </w:r>
    </w:p>
    <w:p w14:paraId="4657DE0F">
      <w:pPr>
        <w:keepNext w:val="0"/>
        <w:keepLines w:val="0"/>
        <w:pageBreakBefore w:val="0"/>
        <w:widowControl w:val="0"/>
        <w:kinsoku/>
        <w:wordWrap/>
        <w:overflowPunct/>
        <w:topLinePunct w:val="0"/>
        <w:autoSpaceDE/>
        <w:autoSpaceDN/>
        <w:bidi w:val="0"/>
        <w:adjustRightInd/>
        <w:snapToGrid/>
        <w:spacing w:line="720" w:lineRule="auto"/>
        <w:ind w:firstLine="1726" w:firstLineChars="500"/>
        <w:jc w:val="both"/>
        <w:textAlignment w:val="auto"/>
        <w:rPr>
          <w:rFonts w:hint="eastAsia" w:ascii="宋体" w:hAnsi="宋体"/>
          <w:b/>
          <w:bCs/>
          <w:color w:val="000000"/>
          <w:spacing w:val="12"/>
          <w:sz w:val="32"/>
          <w:szCs w:val="32"/>
          <w:lang w:val="en-US" w:eastAsia="zh-CN"/>
        </w:rPr>
      </w:pPr>
      <w:r>
        <w:rPr>
          <w:rFonts w:hint="eastAsia" w:ascii="宋体" w:hAnsi="宋体"/>
          <w:b/>
          <w:bCs/>
          <w:color w:val="000000"/>
          <w:spacing w:val="12"/>
          <w:sz w:val="32"/>
          <w:szCs w:val="32"/>
          <w:lang w:val="en-US" w:eastAsia="zh-CN"/>
        </w:rPr>
        <w:t>供应商</w:t>
      </w:r>
      <w:r>
        <w:rPr>
          <w:rFonts w:hint="eastAsia" w:ascii="宋体" w:hAnsi="宋体"/>
          <w:b/>
          <w:bCs/>
          <w:color w:val="000000"/>
          <w:spacing w:val="12"/>
          <w:sz w:val="32"/>
          <w:szCs w:val="32"/>
        </w:rPr>
        <w:t>：</w:t>
      </w:r>
    </w:p>
    <w:p w14:paraId="0381F1DD">
      <w:pPr>
        <w:spacing w:line="440" w:lineRule="exact"/>
        <w:rPr>
          <w:rFonts w:hint="eastAsia" w:ascii="宋体" w:hAnsi="宋体"/>
          <w:b/>
          <w:bCs/>
          <w:color w:val="000000"/>
          <w:spacing w:val="12"/>
          <w:sz w:val="32"/>
          <w:szCs w:val="32"/>
          <w:lang w:val="en-US" w:eastAsia="zh-CN"/>
        </w:rPr>
        <w:sectPr>
          <w:pgSz w:w="11906" w:h="16838"/>
          <w:pgMar w:top="1417" w:right="1417" w:bottom="1417" w:left="1417" w:header="851" w:footer="992" w:gutter="0"/>
          <w:pgNumType w:fmt="decimal" w:start="1"/>
          <w:cols w:space="720" w:num="1"/>
          <w:docGrid w:type="lines" w:linePitch="312" w:charSpace="0"/>
        </w:sectPr>
      </w:pPr>
    </w:p>
    <w:p w14:paraId="772E4B26">
      <w:pPr>
        <w:spacing w:line="440" w:lineRule="exact"/>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 xml:space="preserve">签订地点：  </w:t>
      </w:r>
    </w:p>
    <w:p w14:paraId="2B8391B4">
      <w:pPr>
        <w:spacing w:line="440" w:lineRule="exact"/>
        <w:rPr>
          <w:rFonts w:ascii="宋体" w:hAnsi="宋体"/>
          <w:color w:val="auto"/>
          <w:sz w:val="24"/>
          <w:highlight w:val="none"/>
        </w:rPr>
      </w:pPr>
      <w:r>
        <w:rPr>
          <w:rFonts w:hint="eastAsia" w:ascii="宋体" w:hAnsi="宋体"/>
          <w:color w:val="auto"/>
          <w:sz w:val="24"/>
          <w:highlight w:val="none"/>
        </w:rPr>
        <w:t>签订时间：  年  月  日</w:t>
      </w:r>
    </w:p>
    <w:p w14:paraId="0520CE38">
      <w:pPr>
        <w:spacing w:line="440" w:lineRule="exact"/>
        <w:rPr>
          <w:rFonts w:ascii="宋体" w:hAnsi="宋体"/>
          <w:color w:val="auto"/>
          <w:sz w:val="24"/>
          <w:highlight w:val="none"/>
        </w:rPr>
      </w:pPr>
      <w:r>
        <w:rPr>
          <w:rFonts w:hint="eastAsia" w:ascii="宋体" w:hAnsi="宋体" w:eastAsia="宋体" w:cs="Times New Roman"/>
          <w:color w:val="auto"/>
          <w:sz w:val="24"/>
          <w:highlight w:val="none"/>
        </w:rPr>
        <w:t>项目编号：</w:t>
      </w:r>
      <w:r>
        <w:rPr>
          <w:rFonts w:hint="eastAsia" w:ascii="宋体" w:hAnsi="宋体" w:eastAsia="宋体" w:cs="Times New Roman"/>
          <w:color w:val="auto"/>
          <w:sz w:val="24"/>
          <w:highlight w:val="none"/>
          <w:lang w:val="en-US" w:eastAsia="zh-CN"/>
        </w:rPr>
        <w:t xml:space="preserve">                          </w:t>
      </w:r>
      <w:r>
        <w:rPr>
          <w:rFonts w:hint="eastAsia" w:ascii="宋体" w:hAnsi="宋体" w:eastAsia="宋体" w:cs="Times New Roman"/>
          <w:color w:val="auto"/>
          <w:sz w:val="24"/>
          <w:highlight w:val="none"/>
        </w:rPr>
        <w:t xml:space="preserve"> </w:t>
      </w:r>
      <w:r>
        <w:rPr>
          <w:rFonts w:ascii="宋体" w:hAnsi="宋体"/>
          <w:color w:val="auto"/>
          <w:sz w:val="24"/>
          <w:highlight w:val="none"/>
        </w:rPr>
        <w:t xml:space="preserve">                 </w:t>
      </w:r>
    </w:p>
    <w:p w14:paraId="2DCB9975">
      <w:pPr>
        <w:spacing w:line="440" w:lineRule="exact"/>
        <w:rPr>
          <w:rFonts w:hint="eastAsia" w:ascii="宋体" w:hAnsi="宋体"/>
          <w:color w:val="auto"/>
          <w:sz w:val="24"/>
          <w:highlight w:val="none"/>
        </w:rPr>
      </w:pPr>
      <w:r>
        <w:rPr>
          <w:rFonts w:hint="eastAsia" w:ascii="宋体" w:hAnsi="宋体"/>
          <w:color w:val="auto"/>
          <w:sz w:val="24"/>
          <w:highlight w:val="none"/>
        </w:rPr>
        <w:t>采购人：</w:t>
      </w:r>
    </w:p>
    <w:p w14:paraId="6E669227">
      <w:pPr>
        <w:spacing w:line="440" w:lineRule="exact"/>
        <w:rPr>
          <w:rFonts w:hint="eastAsia" w:ascii="宋体" w:hAnsi="宋体"/>
          <w:color w:val="auto"/>
          <w:sz w:val="24"/>
          <w:highlight w:val="none"/>
        </w:rPr>
      </w:pPr>
      <w:r>
        <w:rPr>
          <w:rFonts w:hint="eastAsia" w:ascii="宋体" w:hAnsi="宋体"/>
          <w:color w:val="auto"/>
          <w:sz w:val="24"/>
          <w:highlight w:val="none"/>
        </w:rPr>
        <w:t>供应商：</w:t>
      </w:r>
    </w:p>
    <w:p w14:paraId="4AA067BC">
      <w:pPr>
        <w:pStyle w:val="4"/>
        <w:spacing w:line="360" w:lineRule="auto"/>
        <w:ind w:left="0" w:leftChars="0" w:firstLine="480" w:firstLineChars="200"/>
        <w:jc w:val="both"/>
        <w:rPr>
          <w:rFonts w:ascii="宋体" w:hAnsi="宋体"/>
          <w:color w:val="auto"/>
          <w:sz w:val="24"/>
          <w:highlight w:val="none"/>
          <w:u w:val="single"/>
        </w:rPr>
      </w:pPr>
      <w:r>
        <w:rPr>
          <w:rFonts w:hint="eastAsia" w:ascii="宋体" w:hAnsi="宋体"/>
          <w:color w:val="auto"/>
          <w:sz w:val="24"/>
          <w:highlight w:val="none"/>
        </w:rPr>
        <w:t>根据</w:t>
      </w:r>
      <w:r>
        <w:rPr>
          <w:rFonts w:hint="eastAsia" w:ascii="宋体" w:hAnsi="宋体"/>
          <w:color w:val="auto"/>
          <w:sz w:val="24"/>
          <w:highlight w:val="none"/>
          <w:u w:val="single"/>
          <w:lang w:val="en-US" w:eastAsia="zh-CN"/>
        </w:rPr>
        <w:t xml:space="preserve"> </w:t>
      </w:r>
      <w:r>
        <w:rPr>
          <w:rFonts w:hint="eastAsia" w:ascii="宋体" w:hAnsi="宋体"/>
          <w:b/>
          <w:bCs/>
          <w:color w:val="auto"/>
          <w:sz w:val="24"/>
          <w:highlight w:val="none"/>
          <w:u w:val="single"/>
          <w:lang w:val="en-US" w:eastAsia="zh-CN"/>
        </w:rPr>
        <w:t xml:space="preserve"> 2025年临渭区葡萄产业园葡萄汁生产线项目</w:t>
      </w:r>
      <w:r>
        <w:rPr>
          <w:rFonts w:hint="eastAsia" w:ascii="宋体" w:hAnsi="宋体" w:eastAsia="Times New Roman" w:cs="Times New Roman"/>
          <w:color w:val="auto"/>
          <w:sz w:val="24"/>
          <w:highlight w:val="none"/>
          <w:u w:val="single"/>
          <w:lang w:val="en-US" w:eastAsia="zh-CN"/>
        </w:rPr>
        <w:t xml:space="preserve">  </w:t>
      </w:r>
      <w:r>
        <w:rPr>
          <w:rFonts w:hint="eastAsia" w:ascii="宋体" w:hAnsi="宋体"/>
          <w:color w:val="auto"/>
          <w:sz w:val="24"/>
          <w:highlight w:val="none"/>
        </w:rPr>
        <w:t>的采购结果，按照《中华人民共和国政府采购法》、《中华人民共和国民法典》等规定，经双方协商，本着平等互利和诚实信用的原则，一致同意签订本合同如下。</w:t>
      </w:r>
    </w:p>
    <w:p w14:paraId="31033206">
      <w:pPr>
        <w:spacing w:line="360" w:lineRule="auto"/>
        <w:ind w:firstLine="482" w:firstLineChars="200"/>
        <w:rPr>
          <w:rFonts w:hint="eastAsia" w:ascii="宋体" w:hAnsi="宋体"/>
          <w:b/>
          <w:bCs/>
          <w:color w:val="auto"/>
          <w:sz w:val="24"/>
          <w:highlight w:val="none"/>
        </w:rPr>
      </w:pPr>
      <w:r>
        <w:rPr>
          <w:rFonts w:hint="eastAsia" w:ascii="宋体" w:hAnsi="宋体"/>
          <w:b/>
          <w:bCs/>
          <w:color w:val="auto"/>
          <w:sz w:val="24"/>
          <w:highlight w:val="none"/>
        </w:rPr>
        <w:t>一、合同文件</w:t>
      </w:r>
    </w:p>
    <w:p w14:paraId="551C6FED">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1、</w:t>
      </w:r>
      <w:r>
        <w:rPr>
          <w:rFonts w:hint="eastAsia" w:ascii="宋体" w:hAnsi="宋体"/>
          <w:color w:val="auto"/>
          <w:sz w:val="24"/>
          <w:highlight w:val="none"/>
          <w:lang w:val="en-US" w:eastAsia="zh-CN"/>
        </w:rPr>
        <w:t>合同</w:t>
      </w:r>
      <w:r>
        <w:rPr>
          <w:rFonts w:hint="eastAsia" w:ascii="宋体" w:hAnsi="宋体"/>
          <w:color w:val="auto"/>
          <w:sz w:val="24"/>
          <w:highlight w:val="none"/>
        </w:rPr>
        <w:t>条款；</w:t>
      </w:r>
    </w:p>
    <w:p w14:paraId="4052E5A8">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2、招标文件；</w:t>
      </w:r>
    </w:p>
    <w:p w14:paraId="66E6B07B">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3、投标文件；</w:t>
      </w:r>
    </w:p>
    <w:p w14:paraId="3AEBE4D0">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4、中标通知书；</w:t>
      </w:r>
    </w:p>
    <w:p w14:paraId="0AA1A0BC">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5、其他。</w:t>
      </w:r>
    </w:p>
    <w:p w14:paraId="77534BBD">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上述所指合同文件应认为是互相补充和解释的，但是有模棱两可或互相矛盾之处，以其所列内容顺序为准。</w:t>
      </w:r>
    </w:p>
    <w:p w14:paraId="0B67D654">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hint="eastAsia" w:ascii="宋体" w:hAnsi="宋体" w:cs="宋体"/>
          <w:b/>
          <w:bCs/>
          <w:color w:val="auto"/>
          <w:kern w:val="0"/>
          <w:sz w:val="24"/>
          <w:highlight w:val="none"/>
        </w:rPr>
        <w:t>二、交付条件：</w:t>
      </w:r>
    </w:p>
    <w:p w14:paraId="2B3D7E7B">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（一）交付地点：采购人指定地点。</w:t>
      </w:r>
    </w:p>
    <w:p w14:paraId="48222E31">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（二）交付期：合同签订后</w:t>
      </w:r>
      <w:r>
        <w:rPr>
          <w:rFonts w:ascii="宋体" w:hAnsi="宋体" w:cs="宋体"/>
          <w:color w:val="auto"/>
          <w:kern w:val="0"/>
          <w:sz w:val="24"/>
          <w:highlight w:val="none"/>
          <w:u w:val="single"/>
        </w:rPr>
        <w:t xml:space="preserve">  </w:t>
      </w:r>
      <w:r>
        <w:rPr>
          <w:rFonts w:hint="eastAsia" w:ascii="宋体" w:hAnsi="宋体" w:cs="宋体"/>
          <w:color w:val="auto"/>
          <w:kern w:val="0"/>
          <w:sz w:val="24"/>
          <w:highlight w:val="none"/>
          <w:u w:val="single"/>
          <w:lang w:val="en-US" w:eastAsia="zh-CN"/>
        </w:rPr>
        <w:t xml:space="preserve"> </w:t>
      </w:r>
      <w:r>
        <w:rPr>
          <w:rFonts w:ascii="宋体" w:hAnsi="宋体" w:cs="宋体"/>
          <w:color w:val="auto"/>
          <w:kern w:val="0"/>
          <w:sz w:val="24"/>
          <w:highlight w:val="none"/>
          <w:u w:val="single"/>
        </w:rPr>
        <w:t xml:space="preserve">    </w:t>
      </w:r>
      <w:r>
        <w:rPr>
          <w:rFonts w:hint="eastAsia" w:ascii="宋体" w:hAnsi="宋体" w:cs="宋体"/>
          <w:color w:val="auto"/>
          <w:kern w:val="0"/>
          <w:sz w:val="24"/>
          <w:highlight w:val="none"/>
        </w:rPr>
        <w:t>个日历天内完成项目全部内容，并交付采购人验收合格。</w:t>
      </w:r>
    </w:p>
    <w:p w14:paraId="72597874">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hint="eastAsia" w:ascii="宋体" w:hAnsi="宋体" w:cs="宋体"/>
          <w:b/>
          <w:bCs/>
          <w:color w:val="auto"/>
          <w:kern w:val="0"/>
          <w:sz w:val="24"/>
          <w:highlight w:val="none"/>
        </w:rPr>
        <w:t>三</w:t>
      </w:r>
      <w:r>
        <w:rPr>
          <w:rFonts w:ascii="宋体" w:hAnsi="宋体" w:cs="宋体"/>
          <w:b/>
          <w:bCs/>
          <w:color w:val="auto"/>
          <w:kern w:val="0"/>
          <w:sz w:val="24"/>
          <w:highlight w:val="none"/>
        </w:rPr>
        <w:t>、</w:t>
      </w:r>
      <w:r>
        <w:rPr>
          <w:rFonts w:hint="eastAsia" w:ascii="宋体" w:hAnsi="宋体" w:cs="宋体"/>
          <w:b/>
          <w:bCs/>
          <w:color w:val="auto"/>
          <w:kern w:val="0"/>
          <w:sz w:val="24"/>
          <w:highlight w:val="none"/>
          <w:lang w:val="en-US" w:eastAsia="zh-CN"/>
        </w:rPr>
        <w:t>中标</w:t>
      </w:r>
      <w:r>
        <w:rPr>
          <w:rFonts w:ascii="宋体" w:hAnsi="宋体" w:cs="宋体"/>
          <w:b/>
          <w:bCs/>
          <w:color w:val="auto"/>
          <w:kern w:val="0"/>
          <w:sz w:val="24"/>
          <w:highlight w:val="none"/>
        </w:rPr>
        <w:t>价款</w:t>
      </w:r>
      <w:r>
        <w:rPr>
          <w:rFonts w:hint="eastAsia" w:ascii="宋体" w:hAnsi="宋体" w:cs="宋体"/>
          <w:b/>
          <w:bCs/>
          <w:color w:val="auto"/>
          <w:kern w:val="0"/>
          <w:sz w:val="24"/>
          <w:highlight w:val="none"/>
        </w:rPr>
        <w:t>及</w:t>
      </w:r>
      <w:r>
        <w:rPr>
          <w:rFonts w:ascii="宋体" w:hAnsi="宋体" w:cs="宋体"/>
          <w:b/>
          <w:bCs/>
          <w:color w:val="auto"/>
          <w:kern w:val="0"/>
          <w:sz w:val="24"/>
          <w:highlight w:val="none"/>
        </w:rPr>
        <w:t>款项结算</w:t>
      </w:r>
      <w:r>
        <w:rPr>
          <w:rFonts w:hint="eastAsia" w:ascii="宋体" w:hAnsi="宋体" w:cs="宋体"/>
          <w:b/>
          <w:bCs/>
          <w:color w:val="auto"/>
          <w:kern w:val="0"/>
          <w:sz w:val="24"/>
          <w:highlight w:val="none"/>
        </w:rPr>
        <w:t>：</w:t>
      </w:r>
    </w:p>
    <w:p w14:paraId="17C928BA">
      <w:pPr>
        <w:tabs>
          <w:tab w:val="left" w:pos="0"/>
          <w:tab w:val="left" w:pos="437"/>
          <w:tab w:val="left" w:pos="1311"/>
        </w:tabs>
        <w:adjustRightInd w:val="0"/>
        <w:snapToGrid w:val="0"/>
        <w:spacing w:line="360" w:lineRule="auto"/>
        <w:ind w:firstLine="480" w:firstLineChars="200"/>
        <w:jc w:val="left"/>
        <w:rPr>
          <w:rFonts w:hint="eastAsia"/>
          <w:color w:val="auto"/>
          <w:highlight w:val="none"/>
        </w:rPr>
      </w:pPr>
      <w:r>
        <w:rPr>
          <w:rFonts w:hint="eastAsia" w:ascii="宋体" w:hAnsi="宋体" w:eastAsia="宋体" w:cs="宋体"/>
          <w:color w:val="auto"/>
          <w:kern w:val="0"/>
          <w:sz w:val="24"/>
          <w:highlight w:val="none"/>
        </w:rPr>
        <w:t>（一）</w:t>
      </w:r>
      <w:r>
        <w:rPr>
          <w:rFonts w:hint="eastAsia" w:ascii="宋体" w:hAnsi="宋体" w:eastAsia="宋体" w:cs="宋体"/>
          <w:color w:val="auto"/>
          <w:kern w:val="0"/>
          <w:sz w:val="24"/>
          <w:highlight w:val="none"/>
          <w:lang w:val="en-US" w:eastAsia="zh-CN"/>
        </w:rPr>
        <w:t>中标价</w:t>
      </w:r>
      <w:r>
        <w:rPr>
          <w:rFonts w:hint="eastAsia" w:ascii="宋体" w:hAnsi="宋体" w:eastAsia="宋体" w:cs="宋体"/>
          <w:color w:val="auto"/>
          <w:kern w:val="0"/>
          <w:sz w:val="24"/>
          <w:highlight w:val="none"/>
        </w:rPr>
        <w:t>：大写：</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，小写：</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w:t>
      </w:r>
      <w:r>
        <w:rPr>
          <w:rFonts w:hint="eastAsia" w:ascii="宋体" w:hAnsi="宋体" w:eastAsia="宋体" w:cs="宋体"/>
          <w:color w:val="auto"/>
          <w:sz w:val="24"/>
          <w:highlight w:val="none"/>
        </w:rPr>
        <w:t>包含</w:t>
      </w:r>
      <w:r>
        <w:rPr>
          <w:rFonts w:hint="eastAsia" w:ascii="宋体" w:hAnsi="宋体" w:eastAsia="宋体" w:cs="宋体"/>
          <w:color w:val="auto"/>
          <w:sz w:val="24"/>
          <w:highlight w:val="none"/>
          <w:lang w:eastAsia="zh-CN"/>
        </w:rPr>
        <w:t>产品费（含税）+运输费+包装费+</w:t>
      </w:r>
      <w:r>
        <w:rPr>
          <w:rFonts w:hint="eastAsia" w:ascii="宋体" w:hAnsi="宋体" w:cs="宋体"/>
          <w:color w:val="auto"/>
          <w:sz w:val="24"/>
          <w:highlight w:val="none"/>
          <w:lang w:val="en-US" w:eastAsia="zh-CN"/>
        </w:rPr>
        <w:t>调试费</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eastAsia="zh-CN"/>
        </w:rPr>
        <w:t>产品辅材费+验收费</w:t>
      </w:r>
      <w:r>
        <w:rPr>
          <w:rFonts w:hint="eastAsia" w:ascii="宋体" w:hAnsi="宋体" w:eastAsia="宋体" w:cs="宋体"/>
          <w:color w:val="auto"/>
          <w:sz w:val="24"/>
          <w:highlight w:val="none"/>
        </w:rPr>
        <w:t>+售后服务费+相关伴随费用等。</w:t>
      </w:r>
    </w:p>
    <w:tbl>
      <w:tblPr>
        <w:tblStyle w:val="13"/>
        <w:tblW w:w="8715" w:type="dxa"/>
        <w:jc w:val="center"/>
        <w:tblLayout w:type="fixed"/>
        <w:tblCellMar>
          <w:top w:w="0" w:type="dxa"/>
          <w:left w:w="0" w:type="dxa"/>
          <w:bottom w:w="0" w:type="dxa"/>
          <w:right w:w="0" w:type="dxa"/>
        </w:tblCellMar>
      </w:tblPr>
      <w:tblGrid>
        <w:gridCol w:w="1786"/>
        <w:gridCol w:w="3509"/>
        <w:gridCol w:w="1440"/>
        <w:gridCol w:w="1080"/>
        <w:gridCol w:w="900"/>
      </w:tblGrid>
      <w:tr w14:paraId="5F95C6A7">
        <w:tblPrEx>
          <w:tblCellMar>
            <w:top w:w="0" w:type="dxa"/>
            <w:left w:w="0" w:type="dxa"/>
            <w:bottom w:w="0" w:type="dxa"/>
            <w:right w:w="0" w:type="dxa"/>
          </w:tblCellMar>
        </w:tblPrEx>
        <w:trPr>
          <w:trHeight w:val="90" w:hRule="atLeast"/>
          <w:jc w:val="center"/>
        </w:trPr>
        <w:tc>
          <w:tcPr>
            <w:tcW w:w="178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5006176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b/>
                <w:bCs/>
                <w:color w:val="auto"/>
                <w:kern w:val="0"/>
                <w:szCs w:val="21"/>
                <w:highlight w:val="none"/>
                <w:lang w:val="en-US" w:eastAsia="zh-CN" w:bidi="ar"/>
              </w:rPr>
            </w:pPr>
            <w:r>
              <w:rPr>
                <w:rFonts w:hint="eastAsia" w:ascii="宋体" w:hAnsi="宋体" w:cs="宋体"/>
                <w:b/>
                <w:bCs/>
                <w:color w:val="auto"/>
                <w:kern w:val="0"/>
                <w:szCs w:val="21"/>
                <w:highlight w:val="none"/>
                <w:lang w:val="en-US" w:eastAsia="zh-CN" w:bidi="ar"/>
              </w:rPr>
              <w:t>货物名称</w:t>
            </w:r>
          </w:p>
        </w:tc>
        <w:tc>
          <w:tcPr>
            <w:tcW w:w="350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7252363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b/>
                <w:bCs/>
                <w:color w:val="auto"/>
                <w:kern w:val="0"/>
                <w:szCs w:val="21"/>
                <w:highlight w:val="none"/>
                <w:lang w:eastAsia="zh-CN" w:bidi="ar"/>
              </w:rPr>
            </w:pPr>
            <w:r>
              <w:rPr>
                <w:rFonts w:hint="eastAsia" w:ascii="宋体" w:hAnsi="宋体" w:cs="宋体"/>
                <w:b/>
                <w:bCs/>
                <w:color w:val="auto"/>
                <w:kern w:val="0"/>
                <w:szCs w:val="21"/>
                <w:highlight w:val="none"/>
                <w:lang w:val="en-US" w:eastAsia="zh-CN" w:bidi="ar"/>
              </w:rPr>
              <w:t>品牌</w:t>
            </w:r>
          </w:p>
        </w:tc>
        <w:tc>
          <w:tcPr>
            <w:tcW w:w="144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460C74A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b/>
                <w:bCs/>
                <w:color w:val="auto"/>
                <w:kern w:val="0"/>
                <w:szCs w:val="21"/>
                <w:highlight w:val="none"/>
                <w:lang w:bidi="ar"/>
              </w:rPr>
            </w:pPr>
            <w:r>
              <w:rPr>
                <w:rFonts w:hint="eastAsia" w:ascii="宋体" w:hAnsi="宋体" w:eastAsia="宋体" w:cs="宋体"/>
                <w:b/>
                <w:bCs/>
                <w:color w:val="auto"/>
                <w:kern w:val="0"/>
                <w:szCs w:val="21"/>
                <w:highlight w:val="none"/>
                <w:lang w:bidi="ar"/>
              </w:rPr>
              <w:t>产品单价</w:t>
            </w:r>
          </w:p>
          <w:p w14:paraId="11264BC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b/>
                <w:bCs/>
                <w:color w:val="auto"/>
                <w:kern w:val="0"/>
                <w:szCs w:val="21"/>
                <w:highlight w:val="none"/>
                <w:lang w:bidi="ar"/>
              </w:rPr>
            </w:pPr>
            <w:r>
              <w:rPr>
                <w:rFonts w:hint="eastAsia" w:ascii="宋体" w:hAnsi="宋体" w:eastAsia="宋体" w:cs="宋体"/>
                <w:b/>
                <w:bCs/>
                <w:color w:val="auto"/>
                <w:kern w:val="0"/>
                <w:szCs w:val="21"/>
                <w:highlight w:val="none"/>
                <w:lang w:bidi="ar"/>
              </w:rPr>
              <w:t>（元）</w:t>
            </w:r>
          </w:p>
        </w:tc>
        <w:tc>
          <w:tcPr>
            <w:tcW w:w="108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7512BB0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b/>
                <w:bCs/>
                <w:color w:val="auto"/>
                <w:kern w:val="0"/>
                <w:szCs w:val="21"/>
                <w:highlight w:val="none"/>
                <w:lang w:bidi="ar"/>
              </w:rPr>
            </w:pPr>
            <w:r>
              <w:rPr>
                <w:rFonts w:hint="eastAsia" w:ascii="宋体" w:hAnsi="宋体" w:eastAsia="宋体" w:cs="宋体"/>
                <w:b/>
                <w:bCs/>
                <w:color w:val="auto"/>
                <w:kern w:val="0"/>
                <w:szCs w:val="21"/>
                <w:highlight w:val="none"/>
                <w:lang w:bidi="ar"/>
              </w:rPr>
              <w:t>单位</w:t>
            </w:r>
          </w:p>
        </w:tc>
        <w:tc>
          <w:tcPr>
            <w:tcW w:w="900"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14:paraId="4099EE9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b/>
                <w:bCs/>
                <w:color w:val="auto"/>
                <w:kern w:val="0"/>
                <w:szCs w:val="21"/>
                <w:highlight w:val="none"/>
                <w:lang w:bidi="ar"/>
              </w:rPr>
            </w:pPr>
            <w:r>
              <w:rPr>
                <w:rFonts w:hint="eastAsia" w:ascii="宋体" w:hAnsi="宋体" w:eastAsia="宋体" w:cs="宋体"/>
                <w:b/>
                <w:bCs/>
                <w:color w:val="auto"/>
                <w:kern w:val="0"/>
                <w:szCs w:val="21"/>
                <w:highlight w:val="none"/>
                <w:lang w:bidi="ar"/>
              </w:rPr>
              <w:t>数量</w:t>
            </w:r>
          </w:p>
        </w:tc>
      </w:tr>
      <w:tr w14:paraId="002C4F36">
        <w:tblPrEx>
          <w:tblCellMar>
            <w:top w:w="0" w:type="dxa"/>
            <w:left w:w="0" w:type="dxa"/>
            <w:bottom w:w="0" w:type="dxa"/>
            <w:right w:w="0" w:type="dxa"/>
          </w:tblCellMar>
        </w:tblPrEx>
        <w:trPr>
          <w:trHeight w:val="664" w:hRule="atLeast"/>
          <w:jc w:val="center"/>
        </w:trPr>
        <w:tc>
          <w:tcPr>
            <w:tcW w:w="178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1AB87130">
            <w:pPr>
              <w:spacing w:line="360" w:lineRule="auto"/>
              <w:jc w:val="center"/>
              <w:rPr>
                <w:rFonts w:hint="eastAsia" w:ascii="宋体" w:hAnsi="宋体" w:eastAsia="宋体" w:cs="宋体"/>
                <w:color w:val="auto"/>
                <w:szCs w:val="21"/>
                <w:highlight w:val="none"/>
              </w:rPr>
            </w:pPr>
          </w:p>
        </w:tc>
        <w:tc>
          <w:tcPr>
            <w:tcW w:w="350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45A67847">
            <w:pPr>
              <w:spacing w:line="360" w:lineRule="auto"/>
              <w:jc w:val="center"/>
              <w:rPr>
                <w:rFonts w:hint="eastAsia" w:ascii="宋体" w:hAnsi="宋体" w:eastAsia="宋体" w:cs="宋体"/>
                <w:color w:val="auto"/>
                <w:szCs w:val="21"/>
                <w:highlight w:val="none"/>
              </w:rPr>
            </w:pPr>
          </w:p>
        </w:tc>
        <w:tc>
          <w:tcPr>
            <w:tcW w:w="144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6C189EA7">
            <w:pPr>
              <w:spacing w:line="360" w:lineRule="auto"/>
              <w:jc w:val="center"/>
              <w:rPr>
                <w:rFonts w:hint="eastAsia" w:ascii="宋体" w:hAnsi="宋体" w:eastAsia="宋体" w:cs="宋体"/>
                <w:color w:val="auto"/>
                <w:kern w:val="0"/>
                <w:szCs w:val="21"/>
                <w:highlight w:val="none"/>
                <w:lang w:bidi="ar"/>
              </w:rPr>
            </w:pPr>
          </w:p>
        </w:tc>
        <w:tc>
          <w:tcPr>
            <w:tcW w:w="108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6FF1057A">
            <w:pPr>
              <w:spacing w:line="360" w:lineRule="auto"/>
              <w:jc w:val="center"/>
              <w:rPr>
                <w:rFonts w:hint="eastAsia" w:ascii="宋体" w:hAnsi="宋体" w:eastAsia="宋体" w:cs="宋体"/>
                <w:color w:val="auto"/>
                <w:szCs w:val="21"/>
                <w:highlight w:val="none"/>
              </w:rPr>
            </w:pPr>
          </w:p>
        </w:tc>
        <w:tc>
          <w:tcPr>
            <w:tcW w:w="900" w:type="dxa"/>
            <w:tcBorders>
              <w:top w:val="single" w:color="000000" w:sz="4" w:space="0"/>
              <w:left w:val="single" w:color="000000" w:sz="4" w:space="0"/>
              <w:bottom w:val="single" w:color="000000" w:sz="4" w:space="0"/>
              <w:right w:val="single" w:color="auto" w:sz="4" w:space="0"/>
            </w:tcBorders>
            <w:noWrap/>
            <w:tcMar>
              <w:top w:w="12" w:type="dxa"/>
              <w:left w:w="12" w:type="dxa"/>
              <w:right w:w="12" w:type="dxa"/>
            </w:tcMar>
            <w:vAlign w:val="center"/>
          </w:tcPr>
          <w:p w14:paraId="360F9EA3">
            <w:pPr>
              <w:spacing w:line="360" w:lineRule="auto"/>
              <w:jc w:val="center"/>
              <w:rPr>
                <w:rFonts w:hint="eastAsia" w:ascii="宋体" w:hAnsi="宋体" w:eastAsia="宋体" w:cs="宋体"/>
                <w:color w:val="auto"/>
                <w:szCs w:val="21"/>
                <w:highlight w:val="none"/>
              </w:rPr>
            </w:pPr>
          </w:p>
        </w:tc>
      </w:tr>
      <w:tr w14:paraId="063A3E0A">
        <w:tblPrEx>
          <w:tblCellMar>
            <w:top w:w="0" w:type="dxa"/>
            <w:left w:w="0" w:type="dxa"/>
            <w:bottom w:w="0" w:type="dxa"/>
            <w:right w:w="0" w:type="dxa"/>
          </w:tblCellMar>
        </w:tblPrEx>
        <w:trPr>
          <w:trHeight w:val="664" w:hRule="atLeast"/>
          <w:jc w:val="center"/>
        </w:trPr>
        <w:tc>
          <w:tcPr>
            <w:tcW w:w="178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5B79F39C">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p>
        </w:tc>
        <w:tc>
          <w:tcPr>
            <w:tcW w:w="350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3A938399">
            <w:pPr>
              <w:spacing w:line="360" w:lineRule="auto"/>
              <w:jc w:val="center"/>
              <w:rPr>
                <w:rFonts w:hint="eastAsia" w:ascii="宋体" w:hAnsi="宋体" w:eastAsia="宋体" w:cs="宋体"/>
                <w:color w:val="auto"/>
                <w:szCs w:val="21"/>
                <w:highlight w:val="none"/>
              </w:rPr>
            </w:pPr>
          </w:p>
        </w:tc>
        <w:tc>
          <w:tcPr>
            <w:tcW w:w="144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1AECD5CD">
            <w:pPr>
              <w:spacing w:line="360" w:lineRule="auto"/>
              <w:jc w:val="center"/>
              <w:rPr>
                <w:rFonts w:hint="eastAsia" w:ascii="宋体" w:hAnsi="宋体" w:eastAsia="宋体" w:cs="宋体"/>
                <w:color w:val="auto"/>
                <w:kern w:val="0"/>
                <w:szCs w:val="21"/>
                <w:highlight w:val="none"/>
                <w:lang w:bidi="ar"/>
              </w:rPr>
            </w:pPr>
          </w:p>
        </w:tc>
        <w:tc>
          <w:tcPr>
            <w:tcW w:w="108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60863C98">
            <w:pPr>
              <w:spacing w:line="360" w:lineRule="auto"/>
              <w:jc w:val="center"/>
              <w:rPr>
                <w:rFonts w:hint="eastAsia" w:ascii="宋体" w:hAnsi="宋体" w:eastAsia="宋体" w:cs="宋体"/>
                <w:color w:val="auto"/>
                <w:szCs w:val="21"/>
                <w:highlight w:val="none"/>
              </w:rPr>
            </w:pPr>
          </w:p>
        </w:tc>
        <w:tc>
          <w:tcPr>
            <w:tcW w:w="900" w:type="dxa"/>
            <w:tcBorders>
              <w:top w:val="single" w:color="000000" w:sz="4" w:space="0"/>
              <w:left w:val="single" w:color="000000" w:sz="4" w:space="0"/>
              <w:bottom w:val="single" w:color="000000" w:sz="4" w:space="0"/>
              <w:right w:val="single" w:color="auto" w:sz="4" w:space="0"/>
            </w:tcBorders>
            <w:noWrap/>
            <w:tcMar>
              <w:top w:w="12" w:type="dxa"/>
              <w:left w:w="12" w:type="dxa"/>
              <w:right w:w="12" w:type="dxa"/>
            </w:tcMar>
            <w:vAlign w:val="center"/>
          </w:tcPr>
          <w:p w14:paraId="6214868A">
            <w:pPr>
              <w:spacing w:line="360" w:lineRule="auto"/>
              <w:jc w:val="center"/>
              <w:rPr>
                <w:rFonts w:hint="eastAsia" w:ascii="宋体" w:hAnsi="宋体" w:eastAsia="宋体" w:cs="宋体"/>
                <w:color w:val="auto"/>
                <w:szCs w:val="21"/>
                <w:highlight w:val="none"/>
              </w:rPr>
            </w:pPr>
          </w:p>
        </w:tc>
      </w:tr>
      <w:tr w14:paraId="00B144D7">
        <w:tblPrEx>
          <w:tblCellMar>
            <w:top w:w="0" w:type="dxa"/>
            <w:left w:w="0" w:type="dxa"/>
            <w:bottom w:w="0" w:type="dxa"/>
            <w:right w:w="0" w:type="dxa"/>
          </w:tblCellMar>
        </w:tblPrEx>
        <w:trPr>
          <w:trHeight w:val="664" w:hRule="atLeast"/>
          <w:jc w:val="center"/>
        </w:trPr>
        <w:tc>
          <w:tcPr>
            <w:tcW w:w="5295"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0EC4B153">
            <w:pPr>
              <w:spacing w:line="360" w:lineRule="auto"/>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合计（元）</w:t>
            </w:r>
          </w:p>
        </w:tc>
        <w:tc>
          <w:tcPr>
            <w:tcW w:w="3420" w:type="dxa"/>
            <w:gridSpan w:val="3"/>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14:paraId="2D906F8A">
            <w:pPr>
              <w:spacing w:line="360" w:lineRule="auto"/>
              <w:jc w:val="center"/>
              <w:rPr>
                <w:rFonts w:hint="eastAsia" w:ascii="宋体" w:hAnsi="宋体" w:eastAsia="宋体" w:cs="宋体"/>
                <w:color w:val="auto"/>
                <w:szCs w:val="21"/>
                <w:highlight w:val="none"/>
              </w:rPr>
            </w:pPr>
          </w:p>
        </w:tc>
      </w:tr>
    </w:tbl>
    <w:p w14:paraId="7AD80CB4">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color w:val="auto"/>
          <w:kern w:val="0"/>
          <w:sz w:val="24"/>
          <w:highlight w:val="none"/>
          <w:lang w:val="en-US" w:eastAsia="zh-CN"/>
        </w:rPr>
      </w:pPr>
    </w:p>
    <w:p w14:paraId="56900174">
      <w:pPr>
        <w:numPr>
          <w:ilvl w:val="0"/>
          <w:numId w:val="1"/>
        </w:num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lang w:val="en-US" w:eastAsia="zh-CN"/>
        </w:rPr>
        <w:t>付款方式：合同签订后，采购人支付合同总价的30%，设备供货期间根据进度拨付合同总价的40%，设备安装调试完成，投入正常使用经采购人验收合格后支付合同总价款的27%；验收后需要进行结算审计，最终的结算审定金额为本项目的最终合同价款，采购人支付剩余合同价款。</w:t>
      </w:r>
    </w:p>
    <w:p w14:paraId="48172EC1">
      <w:pPr>
        <w:numPr>
          <w:numId w:val="0"/>
        </w:num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color w:val="auto"/>
          <w:kern w:val="0"/>
          <w:sz w:val="24"/>
          <w:highlight w:val="none"/>
          <w:lang w:eastAsia="zh-CN"/>
        </w:rPr>
      </w:pPr>
      <w:r>
        <w:rPr>
          <w:rFonts w:hint="eastAsia" w:ascii="宋体" w:hAnsi="宋体" w:eastAsia="宋体" w:cs="宋体"/>
          <w:color w:val="auto"/>
          <w:kern w:val="0"/>
          <w:sz w:val="24"/>
          <w:highlight w:val="none"/>
          <w:lang w:eastAsia="zh-CN"/>
        </w:rPr>
        <w:t>（</w:t>
      </w:r>
      <w:r>
        <w:rPr>
          <w:rFonts w:hint="eastAsia" w:ascii="宋体" w:hAnsi="宋体" w:eastAsia="宋体" w:cs="宋体"/>
          <w:color w:val="auto"/>
          <w:kern w:val="0"/>
          <w:sz w:val="24"/>
          <w:highlight w:val="none"/>
          <w:lang w:val="en-US" w:eastAsia="zh-CN"/>
        </w:rPr>
        <w:t>三</w:t>
      </w:r>
      <w:r>
        <w:rPr>
          <w:rFonts w:hint="eastAsia" w:ascii="宋体" w:hAnsi="宋体" w:eastAsia="宋体" w:cs="宋体"/>
          <w:color w:val="auto"/>
          <w:kern w:val="0"/>
          <w:sz w:val="24"/>
          <w:highlight w:val="none"/>
          <w:lang w:eastAsia="zh-CN"/>
        </w:rPr>
        <w:t>）支付方式：银行转账。</w:t>
      </w:r>
    </w:p>
    <w:p w14:paraId="667AC739">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color w:val="auto"/>
          <w:kern w:val="0"/>
          <w:sz w:val="24"/>
          <w:highlight w:val="none"/>
          <w:lang w:eastAsia="zh-CN"/>
        </w:rPr>
      </w:pPr>
      <w:r>
        <w:rPr>
          <w:rFonts w:hint="eastAsia" w:ascii="宋体" w:hAnsi="宋体" w:eastAsia="宋体" w:cs="宋体"/>
          <w:color w:val="auto"/>
          <w:kern w:val="0"/>
          <w:sz w:val="24"/>
          <w:highlight w:val="none"/>
          <w:lang w:eastAsia="zh-CN"/>
        </w:rPr>
        <w:t>（</w:t>
      </w:r>
      <w:r>
        <w:rPr>
          <w:rFonts w:hint="eastAsia" w:ascii="宋体" w:hAnsi="宋体" w:eastAsia="宋体" w:cs="宋体"/>
          <w:color w:val="auto"/>
          <w:kern w:val="0"/>
          <w:sz w:val="24"/>
          <w:highlight w:val="none"/>
          <w:lang w:val="en-US" w:eastAsia="zh-CN"/>
        </w:rPr>
        <w:t>四</w:t>
      </w:r>
      <w:r>
        <w:rPr>
          <w:rFonts w:hint="eastAsia" w:ascii="宋体" w:hAnsi="宋体" w:eastAsia="宋体" w:cs="宋体"/>
          <w:color w:val="auto"/>
          <w:kern w:val="0"/>
          <w:sz w:val="24"/>
          <w:highlight w:val="none"/>
          <w:lang w:eastAsia="zh-CN"/>
        </w:rPr>
        <w:t>）结算方式：</w:t>
      </w:r>
      <w:r>
        <w:rPr>
          <w:rFonts w:hint="eastAsia" w:ascii="宋体" w:hAnsi="宋体" w:cs="宋体"/>
          <w:color w:val="auto"/>
          <w:kern w:val="0"/>
          <w:sz w:val="24"/>
          <w:highlight w:val="none"/>
          <w:lang w:val="en-US" w:eastAsia="zh-CN"/>
        </w:rPr>
        <w:t>由采购人结算</w:t>
      </w:r>
      <w:r>
        <w:rPr>
          <w:rFonts w:hint="eastAsia" w:ascii="宋体" w:hAnsi="宋体" w:eastAsia="宋体" w:cs="宋体"/>
          <w:color w:val="auto"/>
          <w:kern w:val="0"/>
          <w:sz w:val="24"/>
          <w:highlight w:val="none"/>
          <w:lang w:eastAsia="zh-CN"/>
        </w:rPr>
        <w:t>。</w:t>
      </w:r>
    </w:p>
    <w:p w14:paraId="447E5438">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ascii="宋体" w:hAnsi="宋体" w:cs="宋体"/>
          <w:b/>
          <w:bCs/>
          <w:color w:val="auto"/>
          <w:kern w:val="0"/>
          <w:sz w:val="24"/>
          <w:highlight w:val="none"/>
        </w:rPr>
        <w:t>四、质量保证</w:t>
      </w:r>
      <w:r>
        <w:rPr>
          <w:rFonts w:hint="eastAsia" w:ascii="宋体" w:hAnsi="宋体" w:cs="宋体"/>
          <w:b/>
          <w:bCs/>
          <w:color w:val="auto"/>
          <w:kern w:val="0"/>
          <w:sz w:val="24"/>
          <w:highlight w:val="none"/>
        </w:rPr>
        <w:t>:</w:t>
      </w:r>
    </w:p>
    <w:p w14:paraId="7E0B5460">
      <w:pPr>
        <w:tabs>
          <w:tab w:val="left" w:pos="0"/>
          <w:tab w:val="left" w:pos="437"/>
          <w:tab w:val="left" w:pos="1311"/>
        </w:tabs>
        <w:adjustRightInd w:val="0"/>
        <w:snapToGrid w:val="0"/>
        <w:spacing w:line="360" w:lineRule="auto"/>
        <w:ind w:firstLine="482" w:firstLineChars="200"/>
        <w:jc w:val="left"/>
        <w:rPr>
          <w:rFonts w:ascii="宋体" w:hAnsi="宋体" w:cs="宋体"/>
          <w:color w:val="auto"/>
          <w:kern w:val="0"/>
          <w:sz w:val="24"/>
          <w:highlight w:val="none"/>
        </w:rPr>
      </w:pPr>
      <w:r>
        <w:rPr>
          <w:rFonts w:hint="eastAsia" w:ascii="宋体" w:hAnsi="宋体" w:cs="宋体"/>
          <w:b/>
          <w:color w:val="auto"/>
          <w:kern w:val="0"/>
          <w:sz w:val="24"/>
          <w:highlight w:val="none"/>
        </w:rPr>
        <w:t>1、质保期为验收合格后</w:t>
      </w:r>
      <w:r>
        <w:rPr>
          <w:rFonts w:hint="eastAsia" w:ascii="宋体" w:hAnsi="宋体" w:cs="宋体"/>
          <w:b/>
          <w:color w:val="auto"/>
          <w:kern w:val="0"/>
          <w:sz w:val="24"/>
          <w:highlight w:val="none"/>
          <w:u w:val="single"/>
        </w:rPr>
        <w:t xml:space="preserve"> </w:t>
      </w:r>
      <w:r>
        <w:rPr>
          <w:rFonts w:ascii="宋体" w:hAnsi="宋体" w:cs="宋体"/>
          <w:b/>
          <w:color w:val="auto"/>
          <w:kern w:val="0"/>
          <w:sz w:val="24"/>
          <w:highlight w:val="none"/>
          <w:u w:val="single"/>
        </w:rPr>
        <w:t xml:space="preserve"> </w:t>
      </w:r>
      <w:r>
        <w:rPr>
          <w:rFonts w:hint="eastAsia" w:ascii="宋体" w:hAnsi="宋体" w:cs="宋体"/>
          <w:b/>
          <w:color w:val="auto"/>
          <w:kern w:val="0"/>
          <w:sz w:val="24"/>
          <w:highlight w:val="none"/>
          <w:u w:val="single"/>
          <w:lang w:val="en-US" w:eastAsia="zh-CN"/>
        </w:rPr>
        <w:t xml:space="preserve">                  </w:t>
      </w:r>
      <w:r>
        <w:rPr>
          <w:rFonts w:ascii="宋体" w:hAnsi="宋体" w:cs="宋体"/>
          <w:b/>
          <w:color w:val="auto"/>
          <w:kern w:val="0"/>
          <w:sz w:val="24"/>
          <w:highlight w:val="none"/>
          <w:u w:val="single"/>
        </w:rPr>
        <w:t xml:space="preserve">   </w:t>
      </w:r>
      <w:r>
        <w:rPr>
          <w:rFonts w:hint="eastAsia" w:ascii="宋体" w:hAnsi="宋体" w:cs="宋体"/>
          <w:color w:val="auto"/>
          <w:kern w:val="0"/>
          <w:sz w:val="24"/>
          <w:highlight w:val="none"/>
        </w:rPr>
        <w:t>。</w:t>
      </w:r>
    </w:p>
    <w:p w14:paraId="53A4A52D">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承诺的质保期起始时间为终验合格之日。</w:t>
      </w:r>
    </w:p>
    <w:p w14:paraId="55439D44">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3、所有产品质量必须符合国家有关规范和相关政策。所有</w:t>
      </w:r>
      <w:r>
        <w:rPr>
          <w:rFonts w:hint="eastAsia" w:ascii="宋体" w:hAnsi="宋体" w:cs="宋体"/>
          <w:color w:val="auto"/>
          <w:kern w:val="0"/>
          <w:sz w:val="24"/>
          <w:highlight w:val="none"/>
          <w:lang w:val="en-US" w:eastAsia="zh-CN"/>
        </w:rPr>
        <w:t>产品</w:t>
      </w:r>
      <w:r>
        <w:rPr>
          <w:rFonts w:hint="eastAsia" w:ascii="宋体" w:hAnsi="宋体" w:cs="宋体"/>
          <w:color w:val="auto"/>
          <w:kern w:val="0"/>
          <w:sz w:val="24"/>
          <w:highlight w:val="none"/>
        </w:rPr>
        <w:t>必须是未使用过的新产品，质量优良、渠道正当，</w:t>
      </w:r>
      <w:r>
        <w:rPr>
          <w:rFonts w:hint="eastAsia" w:ascii="宋体" w:hAnsi="宋体" w:cs="宋体"/>
          <w:color w:val="auto"/>
          <w:kern w:val="0"/>
          <w:sz w:val="24"/>
          <w:highlight w:val="none"/>
          <w:lang w:val="en-US" w:eastAsia="zh-CN"/>
        </w:rPr>
        <w:t>证件齐全</w:t>
      </w:r>
      <w:r>
        <w:rPr>
          <w:rFonts w:hint="eastAsia" w:ascii="宋体" w:hAnsi="宋体" w:cs="宋体"/>
          <w:color w:val="auto"/>
          <w:kern w:val="0"/>
          <w:sz w:val="24"/>
          <w:highlight w:val="none"/>
        </w:rPr>
        <w:t>。</w:t>
      </w:r>
    </w:p>
    <w:p w14:paraId="5B0EAAEF">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4、质保期出现的质量问题由中标人负责解决并承担所有费用。</w:t>
      </w:r>
    </w:p>
    <w:p w14:paraId="574A78B0">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ascii="宋体" w:hAnsi="宋体" w:cs="宋体"/>
          <w:b/>
          <w:bCs/>
          <w:color w:val="auto"/>
          <w:kern w:val="0"/>
          <w:sz w:val="24"/>
          <w:highlight w:val="none"/>
        </w:rPr>
        <w:t>五、包装和储运</w:t>
      </w:r>
    </w:p>
    <w:p w14:paraId="4A102614">
      <w:pPr>
        <w:spacing w:line="440" w:lineRule="exact"/>
        <w:ind w:firstLine="482" w:firstLineChars="200"/>
        <w:rPr>
          <w:rFonts w:hint="eastAsia" w:ascii="宋体" w:hAnsi="宋体" w:eastAsia="宋体" w:cs="宋体"/>
          <w:sz w:val="24"/>
        </w:rPr>
      </w:pPr>
      <w:bookmarkStart w:id="0" w:name="_Hlk118582087"/>
      <w:r>
        <w:rPr>
          <w:rFonts w:hint="eastAsia" w:ascii="宋体" w:hAnsi="宋体" w:eastAsia="宋体" w:cs="宋体"/>
          <w:b/>
          <w:bCs/>
          <w:sz w:val="24"/>
        </w:rPr>
        <w:t>1</w:t>
      </w:r>
      <w:r>
        <w:rPr>
          <w:rFonts w:hint="eastAsia" w:ascii="宋体" w:hAnsi="宋体" w:eastAsia="宋体" w:cs="宋体"/>
          <w:b/>
          <w:bCs/>
          <w:sz w:val="24"/>
          <w:lang w:val="en-US" w:eastAsia="zh-CN"/>
        </w:rPr>
        <w:t>.</w:t>
      </w:r>
      <w:r>
        <w:rPr>
          <w:rFonts w:hint="eastAsia" w:ascii="宋体" w:hAnsi="宋体" w:eastAsia="宋体" w:cs="宋体"/>
          <w:b/>
          <w:bCs/>
          <w:sz w:val="24"/>
        </w:rPr>
        <w:t>包装：</w:t>
      </w:r>
      <w:r>
        <w:rPr>
          <w:rFonts w:hint="eastAsia" w:ascii="宋体" w:hAnsi="宋体" w:eastAsia="宋体" w:cs="宋体"/>
          <w:sz w:val="24"/>
        </w:rPr>
        <w:t>应采取防潮、防晒、防腐蚀、防震动及防止其它损坏的必要措施。中标人应承担由于其包装或防护措施不妥而引起的货物锈蚀、损坏和丢失等任何损失造成的责任或费用。</w:t>
      </w:r>
    </w:p>
    <w:p w14:paraId="2773277C">
      <w:pPr>
        <w:spacing w:line="440" w:lineRule="exact"/>
        <w:ind w:firstLine="482" w:firstLineChars="200"/>
        <w:rPr>
          <w:rFonts w:hint="eastAsia" w:ascii="宋体" w:hAnsi="宋体" w:eastAsia="宋体" w:cs="宋体"/>
          <w:sz w:val="24"/>
        </w:rPr>
      </w:pPr>
      <w:r>
        <w:rPr>
          <w:rFonts w:hint="eastAsia" w:ascii="宋体" w:hAnsi="宋体" w:eastAsia="宋体" w:cs="宋体"/>
          <w:b/>
          <w:bCs/>
          <w:sz w:val="24"/>
        </w:rPr>
        <w:t>2</w:t>
      </w:r>
      <w:r>
        <w:rPr>
          <w:rFonts w:hint="eastAsia" w:ascii="宋体" w:hAnsi="宋体" w:eastAsia="宋体" w:cs="宋体"/>
          <w:b/>
          <w:bCs/>
          <w:sz w:val="24"/>
          <w:lang w:val="en-US" w:eastAsia="zh-CN"/>
        </w:rPr>
        <w:t>.</w:t>
      </w:r>
      <w:r>
        <w:rPr>
          <w:rFonts w:hint="eastAsia" w:ascii="宋体" w:hAnsi="宋体" w:eastAsia="宋体" w:cs="宋体"/>
          <w:b/>
          <w:bCs/>
          <w:sz w:val="24"/>
        </w:rPr>
        <w:t>运输：</w:t>
      </w:r>
      <w:r>
        <w:rPr>
          <w:rFonts w:hint="eastAsia" w:ascii="宋体" w:hAnsi="宋体" w:eastAsia="宋体" w:cs="宋体"/>
          <w:sz w:val="24"/>
        </w:rPr>
        <w:t>选择运输风险小、运费低、距离短的运输路线。运杂费一次包死在总价内，包括生产厂到交货地所需的装卸、运输（含保险费）、现场保管费、二次倒运费、吊装费等费用。</w:t>
      </w:r>
    </w:p>
    <w:bookmarkEnd w:id="0"/>
    <w:p w14:paraId="35F9BCF5">
      <w:pPr>
        <w:tabs>
          <w:tab w:val="left" w:pos="0"/>
          <w:tab w:val="left" w:pos="437"/>
          <w:tab w:val="left" w:pos="1311"/>
        </w:tabs>
        <w:adjustRightInd w:val="0"/>
        <w:snapToGrid w:val="0"/>
        <w:spacing w:line="360" w:lineRule="auto"/>
        <w:ind w:firstLine="482" w:firstLineChars="200"/>
        <w:jc w:val="left"/>
        <w:rPr>
          <w:rFonts w:hint="eastAsia" w:ascii="宋体" w:hAnsi="宋体" w:cs="宋体"/>
          <w:b/>
          <w:bCs/>
          <w:color w:val="auto"/>
          <w:kern w:val="0"/>
          <w:sz w:val="24"/>
          <w:highlight w:val="none"/>
        </w:rPr>
      </w:pPr>
      <w:r>
        <w:rPr>
          <w:rFonts w:hint="eastAsia" w:ascii="宋体" w:hAnsi="宋体" w:cs="宋体"/>
          <w:b/>
          <w:bCs/>
          <w:color w:val="auto"/>
          <w:kern w:val="0"/>
          <w:sz w:val="24"/>
          <w:highlight w:val="none"/>
          <w:lang w:val="en-US" w:eastAsia="zh-CN"/>
        </w:rPr>
        <w:t>六、</w:t>
      </w:r>
      <w:r>
        <w:rPr>
          <w:rFonts w:hint="eastAsia" w:ascii="宋体" w:hAnsi="宋体" w:cs="宋体"/>
          <w:b/>
          <w:bCs/>
          <w:color w:val="auto"/>
          <w:kern w:val="0"/>
          <w:sz w:val="24"/>
          <w:highlight w:val="none"/>
        </w:rPr>
        <w:t>设备安装与调试</w:t>
      </w:r>
    </w:p>
    <w:p w14:paraId="35AA370D">
      <w:pPr>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highlight w:val="none"/>
        </w:rPr>
      </w:pPr>
      <w:r>
        <w:rPr>
          <w:rFonts w:hint="eastAsia" w:ascii="宋体" w:hAnsi="宋体" w:cs="宋体"/>
          <w:b w:val="0"/>
          <w:bCs w:val="0"/>
          <w:color w:val="auto"/>
          <w:kern w:val="0"/>
          <w:sz w:val="24"/>
          <w:highlight w:val="none"/>
          <w:lang w:val="en-US" w:eastAsia="zh-CN"/>
        </w:rPr>
        <w:t>1.</w:t>
      </w:r>
      <w:r>
        <w:rPr>
          <w:rFonts w:hint="eastAsia" w:ascii="宋体" w:hAnsi="宋体" w:cs="宋体"/>
          <w:b w:val="0"/>
          <w:bCs w:val="0"/>
          <w:color w:val="auto"/>
          <w:kern w:val="0"/>
          <w:sz w:val="24"/>
          <w:highlight w:val="none"/>
        </w:rPr>
        <w:t>设备安装</w:t>
      </w:r>
    </w:p>
    <w:p w14:paraId="203F6E18">
      <w:pPr>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highlight w:val="none"/>
        </w:rPr>
      </w:pPr>
      <w:r>
        <w:rPr>
          <w:rFonts w:hint="eastAsia" w:ascii="宋体" w:hAnsi="宋体" w:cs="宋体"/>
          <w:b w:val="0"/>
          <w:bCs w:val="0"/>
          <w:color w:val="auto"/>
          <w:kern w:val="0"/>
          <w:sz w:val="24"/>
          <w:highlight w:val="none"/>
        </w:rPr>
        <w:t>按照设备说明书和产业园的实际情况，合理布局和安装设备。确保设备安装牢固、运行平稳。在安装过程中，注意设备的连接和接口，确保设备之间的通信和数据传输正常。</w:t>
      </w:r>
    </w:p>
    <w:p w14:paraId="5F74FC0A">
      <w:pPr>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highlight w:val="none"/>
        </w:rPr>
      </w:pPr>
      <w:r>
        <w:rPr>
          <w:rFonts w:hint="eastAsia" w:ascii="宋体" w:hAnsi="宋体" w:cs="宋体"/>
          <w:b w:val="0"/>
          <w:bCs w:val="0"/>
          <w:color w:val="auto"/>
          <w:kern w:val="0"/>
          <w:sz w:val="24"/>
          <w:highlight w:val="none"/>
          <w:lang w:val="en-US" w:eastAsia="zh-CN"/>
        </w:rPr>
        <w:t>2.</w:t>
      </w:r>
      <w:r>
        <w:rPr>
          <w:rFonts w:hint="eastAsia" w:ascii="宋体" w:hAnsi="宋体" w:cs="宋体"/>
          <w:b w:val="0"/>
          <w:bCs w:val="0"/>
          <w:color w:val="auto"/>
          <w:kern w:val="0"/>
          <w:sz w:val="24"/>
          <w:highlight w:val="none"/>
        </w:rPr>
        <w:t>设备调试</w:t>
      </w:r>
    </w:p>
    <w:p w14:paraId="2E76AB7F">
      <w:pPr>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highlight w:val="none"/>
        </w:rPr>
      </w:pPr>
      <w:r>
        <w:rPr>
          <w:rFonts w:hint="eastAsia" w:ascii="宋体" w:hAnsi="宋体" w:cs="宋体"/>
          <w:b w:val="0"/>
          <w:bCs w:val="0"/>
          <w:color w:val="auto"/>
          <w:kern w:val="0"/>
          <w:sz w:val="24"/>
          <w:highlight w:val="none"/>
        </w:rPr>
        <w:t>对安装好的设备进行调试，检查设备的运行状况和功能是否正常。根据调试结果，对设备进行必要的调整和优化，确保设备能够满足生产需求。</w:t>
      </w:r>
    </w:p>
    <w:p w14:paraId="408C5C28">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hint="eastAsia" w:ascii="宋体" w:hAnsi="宋体" w:cs="宋体"/>
          <w:b/>
          <w:bCs/>
          <w:color w:val="auto"/>
          <w:kern w:val="0"/>
          <w:sz w:val="24"/>
          <w:highlight w:val="none"/>
          <w:lang w:val="en-US" w:eastAsia="zh-CN"/>
        </w:rPr>
        <w:t>七</w:t>
      </w:r>
      <w:r>
        <w:rPr>
          <w:rFonts w:ascii="宋体" w:hAnsi="宋体" w:cs="宋体"/>
          <w:b/>
          <w:bCs/>
          <w:color w:val="auto"/>
          <w:kern w:val="0"/>
          <w:sz w:val="24"/>
          <w:highlight w:val="none"/>
        </w:rPr>
        <w:t>、验收</w:t>
      </w:r>
    </w:p>
    <w:p w14:paraId="5B95A04B">
      <w:pPr>
        <w:tabs>
          <w:tab w:val="left" w:pos="0"/>
          <w:tab w:val="left" w:pos="437"/>
          <w:tab w:val="left" w:pos="1311"/>
        </w:tabs>
        <w:adjustRightInd w:val="0"/>
        <w:snapToGrid w:val="0"/>
        <w:spacing w:line="360" w:lineRule="auto"/>
        <w:ind w:firstLine="480" w:firstLineChars="200"/>
        <w:jc w:val="left"/>
        <w:rPr>
          <w:rFonts w:hint="default" w:ascii="宋体" w:hAnsi="宋体" w:eastAsia="宋体" w:cs="宋体"/>
          <w:color w:val="auto"/>
          <w:kern w:val="0"/>
          <w:sz w:val="24"/>
          <w:highlight w:val="none"/>
          <w:lang w:val="en-US" w:eastAsia="zh-CN"/>
        </w:rPr>
      </w:pPr>
      <w:r>
        <w:rPr>
          <w:rFonts w:hint="eastAsia" w:ascii="宋体" w:hAnsi="宋体" w:cs="宋体"/>
          <w:color w:val="auto"/>
          <w:kern w:val="0"/>
          <w:sz w:val="24"/>
          <w:highlight w:val="none"/>
          <w:lang w:val="en-US" w:eastAsia="zh-CN"/>
        </w:rPr>
        <w:t>1、项目验收</w:t>
      </w:r>
    </w:p>
    <w:p w14:paraId="3F1F9CA9">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lang w:val="en-US" w:eastAsia="zh-CN"/>
        </w:rPr>
        <w:t>1</w:t>
      </w: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rPr>
        <w:t>所供产品的规格、数量符合采购文件供应商投标承诺及采购合同约定的要求。</w:t>
      </w:r>
    </w:p>
    <w:p w14:paraId="2A3BF2E8">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lang w:val="en-US" w:eastAsia="zh-CN"/>
        </w:rPr>
        <w:t>2</w:t>
      </w: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rPr>
        <w:t>所有产品均已运输至指定地点存放，运费由供应商承担。</w:t>
      </w:r>
    </w:p>
    <w:p w14:paraId="0666471C">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lang w:val="en-US" w:eastAsia="zh-CN"/>
        </w:rPr>
        <w:t>3</w:t>
      </w: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rPr>
        <w:t>由采购人和供应商共同进行验收。其内容包括产品质量是否达到现行国家有关验收规范“合格”标准进行逐项检查。</w:t>
      </w:r>
    </w:p>
    <w:p w14:paraId="7D4AD76A">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lang w:val="en-US" w:eastAsia="zh-CN"/>
        </w:rPr>
        <w:t>4</w:t>
      </w: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rPr>
        <w:t>所有产品使用包装完好、全新的合格产品，不得使用积压材料。</w:t>
      </w:r>
    </w:p>
    <w:p w14:paraId="53638BF2">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lang w:val="en-US" w:eastAsia="zh-CN"/>
        </w:rPr>
        <w:t>5</w:t>
      </w: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rPr>
        <w:t>生产厂家的企业资质、检验报告、货物的执行标准。</w:t>
      </w:r>
    </w:p>
    <w:p w14:paraId="7465167E">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验收不合格的中标单位，必须在接到通知后7个日历日内确保货物通过验收。如接到通知后7个日历日内验收仍不合格，采购人可提出索赔或取消其供货合同。采购代理机构将把成交资格授予评审排序下一名的成交单位。</w:t>
      </w:r>
    </w:p>
    <w:p w14:paraId="6E7B145C">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3、验收依据</w:t>
      </w:r>
    </w:p>
    <w:p w14:paraId="6F0EB0AA">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（1）合同文本及合同补充文件（条款）； </w:t>
      </w:r>
    </w:p>
    <w:p w14:paraId="534703FC">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（2）产品的合法来源渠道证明文件、响应功能证明材料；</w:t>
      </w:r>
    </w:p>
    <w:p w14:paraId="1462DFBA">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（3）招标文件；</w:t>
      </w:r>
    </w:p>
    <w:p w14:paraId="3C5C06D9">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（4）中标人的投标文件；</w:t>
      </w:r>
    </w:p>
    <w:p w14:paraId="6E9C85EB">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（5）货物清单；</w:t>
      </w:r>
    </w:p>
    <w:p w14:paraId="7D21EB70">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（6）生产厂家的企业资质、货物的执行标准。</w:t>
      </w:r>
    </w:p>
    <w:p w14:paraId="59900AC6">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hint="eastAsia" w:ascii="宋体" w:hAnsi="宋体" w:cs="宋体"/>
          <w:b/>
          <w:bCs/>
          <w:color w:val="auto"/>
          <w:kern w:val="0"/>
          <w:sz w:val="24"/>
          <w:highlight w:val="none"/>
          <w:lang w:val="en-US" w:eastAsia="zh-CN"/>
        </w:rPr>
        <w:t>八</w:t>
      </w:r>
      <w:r>
        <w:rPr>
          <w:rFonts w:ascii="宋体" w:hAnsi="宋体" w:cs="宋体"/>
          <w:b/>
          <w:bCs/>
          <w:color w:val="auto"/>
          <w:kern w:val="0"/>
          <w:sz w:val="24"/>
          <w:highlight w:val="none"/>
        </w:rPr>
        <w:t>、售后服务</w:t>
      </w:r>
    </w:p>
    <w:p w14:paraId="6BA9B121">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lang w:val="en-US" w:eastAsia="zh-CN"/>
        </w:rPr>
        <w:t>1.</w:t>
      </w:r>
      <w:r>
        <w:rPr>
          <w:rFonts w:hint="eastAsia" w:ascii="宋体" w:hAnsi="宋体" w:cs="宋体"/>
          <w:color w:val="auto"/>
          <w:kern w:val="0"/>
          <w:sz w:val="24"/>
          <w:highlight w:val="none"/>
        </w:rPr>
        <w:t>质保期内，</w:t>
      </w:r>
      <w:r>
        <w:rPr>
          <w:rFonts w:hint="eastAsia" w:ascii="宋体" w:hAnsi="宋体" w:cs="宋体"/>
          <w:color w:val="auto"/>
          <w:kern w:val="0"/>
          <w:sz w:val="24"/>
          <w:highlight w:val="none"/>
          <w:lang w:val="en-US" w:eastAsia="zh-CN"/>
        </w:rPr>
        <w:t>产品</w:t>
      </w:r>
      <w:r>
        <w:rPr>
          <w:rFonts w:hint="eastAsia" w:ascii="宋体" w:hAnsi="宋体" w:cs="宋体"/>
          <w:color w:val="auto"/>
          <w:kern w:val="0"/>
          <w:sz w:val="24"/>
          <w:highlight w:val="none"/>
        </w:rPr>
        <w:t>出现故障或异常，供应商应在4小时内到达现场处理，并将信息反馈采购人；故障严重不能及时解决时，应及时告知采购人。如不能在48小时内排除故障，应更换备件，并负责维修，故障备件应及时修复，并做好相应的记录。如因自身技术能力不足无法修复，需委托设备生产厂商服务的，供货单位须负责相关费用。</w:t>
      </w:r>
    </w:p>
    <w:p w14:paraId="6018045D">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lang w:val="en-US" w:eastAsia="zh-CN"/>
        </w:rPr>
        <w:t>2.</w:t>
      </w:r>
      <w:r>
        <w:rPr>
          <w:rFonts w:hint="eastAsia" w:ascii="宋体" w:hAnsi="宋体" w:cs="宋体"/>
          <w:color w:val="auto"/>
          <w:kern w:val="0"/>
          <w:sz w:val="24"/>
          <w:highlight w:val="none"/>
        </w:rPr>
        <w:t>质保期内出现的质量问题由</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负责解决并承担所有费用；质保期后出现问题，</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以优惠的价格提供。</w:t>
      </w:r>
    </w:p>
    <w:p w14:paraId="0FFDA579">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hint="eastAsia" w:ascii="宋体" w:hAnsi="宋体" w:cs="宋体"/>
          <w:b/>
          <w:bCs/>
          <w:color w:val="auto"/>
          <w:kern w:val="0"/>
          <w:sz w:val="24"/>
          <w:highlight w:val="none"/>
          <w:lang w:val="en-US" w:eastAsia="zh-CN"/>
        </w:rPr>
        <w:t>九</w:t>
      </w:r>
      <w:r>
        <w:rPr>
          <w:rFonts w:ascii="宋体" w:hAnsi="宋体" w:cs="宋体"/>
          <w:b/>
          <w:bCs/>
          <w:color w:val="auto"/>
          <w:kern w:val="0"/>
          <w:sz w:val="24"/>
          <w:highlight w:val="none"/>
        </w:rPr>
        <w:t>、技术与服务</w:t>
      </w:r>
    </w:p>
    <w:p w14:paraId="69055E65">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1、对技术服务的要求：</w:t>
      </w:r>
    </w:p>
    <w:p w14:paraId="3FD332C5">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2、技术资料：</w:t>
      </w:r>
    </w:p>
    <w:p w14:paraId="72A67D1E">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2-1、产品合格证及检验报告；</w:t>
      </w:r>
    </w:p>
    <w:p w14:paraId="37A27487">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2-2、产品使用说明书（中文）；</w:t>
      </w:r>
    </w:p>
    <w:p w14:paraId="5F8388BB">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w:t>
      </w:r>
      <w:r>
        <w:rPr>
          <w:rFonts w:ascii="宋体" w:hAnsi="宋体" w:cs="宋体"/>
          <w:color w:val="auto"/>
          <w:kern w:val="0"/>
          <w:sz w:val="24"/>
          <w:highlight w:val="none"/>
        </w:rPr>
        <w:t>3</w:t>
      </w:r>
      <w:r>
        <w:rPr>
          <w:rFonts w:hint="eastAsia" w:ascii="宋体" w:hAnsi="宋体" w:cs="宋体"/>
          <w:color w:val="auto"/>
          <w:kern w:val="0"/>
          <w:sz w:val="24"/>
          <w:highlight w:val="none"/>
        </w:rPr>
        <w:t>、其它资料。</w:t>
      </w:r>
    </w:p>
    <w:p w14:paraId="6D8A2828">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3、伴随服务</w:t>
      </w:r>
    </w:p>
    <w:p w14:paraId="7DE76FE8">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ascii="宋体" w:hAnsi="宋体" w:cs="宋体"/>
          <w:color w:val="auto"/>
          <w:kern w:val="0"/>
          <w:sz w:val="24"/>
          <w:highlight w:val="none"/>
        </w:rPr>
        <w:t>3</w:t>
      </w:r>
      <w:r>
        <w:rPr>
          <w:rFonts w:hint="eastAsia" w:ascii="宋体" w:hAnsi="宋体" w:cs="宋体"/>
          <w:color w:val="auto"/>
          <w:kern w:val="0"/>
          <w:sz w:val="24"/>
          <w:highlight w:val="none"/>
        </w:rPr>
        <w:t>-1、</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应随同每套货物提供相应的中文的技术文件。</w:t>
      </w:r>
    </w:p>
    <w:p w14:paraId="067B7BBB">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ascii="宋体" w:hAnsi="宋体" w:cs="宋体"/>
          <w:color w:val="auto"/>
          <w:kern w:val="0"/>
          <w:sz w:val="24"/>
          <w:highlight w:val="none"/>
        </w:rPr>
        <w:t>3</w:t>
      </w:r>
      <w:r>
        <w:rPr>
          <w:rFonts w:hint="eastAsia" w:ascii="宋体" w:hAnsi="宋体" w:cs="宋体"/>
          <w:color w:val="auto"/>
          <w:kern w:val="0"/>
          <w:sz w:val="24"/>
          <w:highlight w:val="none"/>
        </w:rPr>
        <w:t>-1-1、制造厂的检验、测试报告、检验合格证书，计量合格等级证书，质量保证书等文件须随产品提供。</w:t>
      </w:r>
    </w:p>
    <w:p w14:paraId="1A51E1DD">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ascii="宋体" w:hAnsi="宋体" w:cs="宋体"/>
          <w:color w:val="auto"/>
          <w:kern w:val="0"/>
          <w:sz w:val="24"/>
          <w:highlight w:val="none"/>
        </w:rPr>
        <w:t>3</w:t>
      </w:r>
      <w:r>
        <w:rPr>
          <w:rFonts w:hint="eastAsia" w:ascii="宋体" w:hAnsi="宋体" w:cs="宋体"/>
          <w:color w:val="auto"/>
          <w:kern w:val="0"/>
          <w:sz w:val="24"/>
          <w:highlight w:val="none"/>
        </w:rPr>
        <w:t>-1-3、</w:t>
      </w:r>
      <w:r>
        <w:rPr>
          <w:rFonts w:hint="eastAsia" w:ascii="宋体" w:hAnsi="宋体" w:cs="宋体"/>
          <w:color w:val="auto"/>
          <w:kern w:val="0"/>
          <w:sz w:val="24"/>
          <w:highlight w:val="none"/>
          <w:lang w:eastAsia="zh-CN"/>
        </w:rPr>
        <w:t>必需的</w:t>
      </w:r>
      <w:r>
        <w:rPr>
          <w:rFonts w:hint="eastAsia" w:ascii="宋体" w:hAnsi="宋体" w:cs="宋体"/>
          <w:color w:val="auto"/>
          <w:kern w:val="0"/>
          <w:sz w:val="24"/>
          <w:highlight w:val="none"/>
        </w:rPr>
        <w:t>其它技术资料。</w:t>
      </w:r>
    </w:p>
    <w:p w14:paraId="5D7AD88F">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ascii="宋体" w:hAnsi="宋体" w:cs="宋体"/>
          <w:color w:val="auto"/>
          <w:kern w:val="0"/>
          <w:sz w:val="24"/>
          <w:highlight w:val="none"/>
        </w:rPr>
        <w:t>3</w:t>
      </w:r>
      <w:r>
        <w:rPr>
          <w:rFonts w:hint="eastAsia" w:ascii="宋体" w:hAnsi="宋体" w:cs="宋体"/>
          <w:color w:val="auto"/>
          <w:kern w:val="0"/>
          <w:sz w:val="24"/>
          <w:highlight w:val="none"/>
        </w:rPr>
        <w:t>-2、伴随服务的费用已含在合同价中，不单独进行支付。</w:t>
      </w:r>
    </w:p>
    <w:p w14:paraId="5DA9D72E">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ascii="宋体" w:hAnsi="宋体" w:cs="宋体"/>
          <w:color w:val="auto"/>
          <w:kern w:val="0"/>
          <w:sz w:val="24"/>
          <w:highlight w:val="none"/>
        </w:rPr>
        <w:t>（二）服务承诺</w:t>
      </w:r>
    </w:p>
    <w:p w14:paraId="0A094E86">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ascii="宋体" w:hAnsi="宋体" w:cs="宋体"/>
          <w:color w:val="auto"/>
          <w:kern w:val="0"/>
          <w:sz w:val="24"/>
          <w:highlight w:val="none"/>
        </w:rPr>
        <w:t>以</w:t>
      </w:r>
      <w:r>
        <w:rPr>
          <w:rFonts w:hint="eastAsia" w:ascii="宋体" w:hAnsi="宋体" w:cs="宋体"/>
          <w:color w:val="auto"/>
          <w:kern w:val="0"/>
          <w:sz w:val="24"/>
          <w:highlight w:val="none"/>
        </w:rPr>
        <w:t>招标</w:t>
      </w:r>
      <w:r>
        <w:rPr>
          <w:rFonts w:ascii="宋体" w:hAnsi="宋体" w:cs="宋体"/>
          <w:color w:val="auto"/>
          <w:kern w:val="0"/>
          <w:sz w:val="24"/>
          <w:highlight w:val="none"/>
        </w:rPr>
        <w:t>文件、</w:t>
      </w:r>
      <w:r>
        <w:rPr>
          <w:rFonts w:hint="eastAsia" w:ascii="宋体" w:hAnsi="宋体" w:cs="宋体"/>
          <w:color w:val="auto"/>
          <w:kern w:val="0"/>
          <w:sz w:val="24"/>
          <w:highlight w:val="none"/>
        </w:rPr>
        <w:t>投标文件</w:t>
      </w:r>
      <w:r>
        <w:rPr>
          <w:rFonts w:ascii="宋体" w:hAnsi="宋体" w:cs="宋体"/>
          <w:color w:val="auto"/>
          <w:kern w:val="0"/>
          <w:sz w:val="24"/>
          <w:highlight w:val="none"/>
        </w:rPr>
        <w:t>、合同和</w:t>
      </w:r>
      <w:r>
        <w:rPr>
          <w:rFonts w:hint="eastAsia" w:ascii="宋体" w:hAnsi="宋体" w:cs="宋体"/>
          <w:color w:val="auto"/>
          <w:kern w:val="0"/>
          <w:sz w:val="24"/>
          <w:highlight w:val="none"/>
          <w:lang w:val="en-US" w:eastAsia="zh-CN"/>
        </w:rPr>
        <w:t>产品</w:t>
      </w:r>
      <w:r>
        <w:rPr>
          <w:rFonts w:ascii="宋体" w:hAnsi="宋体" w:cs="宋体"/>
          <w:color w:val="auto"/>
          <w:kern w:val="0"/>
          <w:sz w:val="24"/>
          <w:highlight w:val="none"/>
        </w:rPr>
        <w:t>的相关文件为准。</w:t>
      </w:r>
    </w:p>
    <w:p w14:paraId="600C9747">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hint="eastAsia" w:ascii="宋体" w:hAnsi="宋体" w:cs="宋体"/>
          <w:b/>
          <w:bCs/>
          <w:color w:val="auto"/>
          <w:kern w:val="0"/>
          <w:sz w:val="24"/>
          <w:highlight w:val="none"/>
          <w:lang w:val="en-US" w:eastAsia="zh-CN"/>
        </w:rPr>
        <w:t>十</w:t>
      </w:r>
      <w:r>
        <w:rPr>
          <w:rFonts w:hint="eastAsia" w:ascii="宋体" w:hAnsi="宋体" w:cs="宋体"/>
          <w:b/>
          <w:bCs/>
          <w:color w:val="auto"/>
          <w:kern w:val="0"/>
          <w:sz w:val="24"/>
          <w:highlight w:val="none"/>
        </w:rPr>
        <w:t>、权利和义务</w:t>
      </w:r>
    </w:p>
    <w:p w14:paraId="684C9DF4">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（一）</w:t>
      </w:r>
      <w:r>
        <w:rPr>
          <w:rFonts w:hint="eastAsia" w:ascii="宋体" w:hAnsi="宋体" w:cs="宋体"/>
          <w:color w:val="auto"/>
          <w:kern w:val="0"/>
          <w:sz w:val="24"/>
          <w:highlight w:val="none"/>
          <w:lang w:eastAsia="zh-CN"/>
        </w:rPr>
        <w:t>采购人</w:t>
      </w:r>
      <w:r>
        <w:rPr>
          <w:rFonts w:hint="eastAsia" w:ascii="宋体" w:hAnsi="宋体" w:cs="宋体"/>
          <w:color w:val="auto"/>
          <w:kern w:val="0"/>
          <w:sz w:val="24"/>
          <w:highlight w:val="none"/>
        </w:rPr>
        <w:t>权利及义务</w:t>
      </w:r>
    </w:p>
    <w:p w14:paraId="07562605">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1、</w:t>
      </w:r>
      <w:r>
        <w:rPr>
          <w:rFonts w:hint="eastAsia" w:ascii="宋体" w:hAnsi="宋体" w:cs="宋体"/>
          <w:color w:val="auto"/>
          <w:kern w:val="0"/>
          <w:sz w:val="24"/>
          <w:highlight w:val="none"/>
          <w:lang w:eastAsia="zh-CN"/>
        </w:rPr>
        <w:t>采购人</w:t>
      </w:r>
      <w:r>
        <w:rPr>
          <w:rFonts w:hint="eastAsia" w:ascii="宋体" w:hAnsi="宋体" w:cs="宋体"/>
          <w:color w:val="auto"/>
          <w:kern w:val="0"/>
          <w:sz w:val="24"/>
          <w:highlight w:val="none"/>
        </w:rPr>
        <w:t>根据招标</w:t>
      </w:r>
      <w:r>
        <w:rPr>
          <w:rFonts w:ascii="宋体" w:hAnsi="宋体" w:cs="宋体"/>
          <w:color w:val="auto"/>
          <w:kern w:val="0"/>
          <w:sz w:val="24"/>
          <w:highlight w:val="none"/>
        </w:rPr>
        <w:t>文件</w:t>
      </w:r>
      <w:r>
        <w:rPr>
          <w:rFonts w:hint="eastAsia" w:ascii="宋体" w:hAnsi="宋体" w:cs="宋体"/>
          <w:color w:val="auto"/>
          <w:kern w:val="0"/>
          <w:sz w:val="24"/>
          <w:highlight w:val="none"/>
          <w:lang w:eastAsia="zh-CN"/>
        </w:rPr>
        <w:t>的</w:t>
      </w:r>
      <w:r>
        <w:rPr>
          <w:rFonts w:ascii="宋体" w:hAnsi="宋体" w:cs="宋体"/>
          <w:color w:val="auto"/>
          <w:kern w:val="0"/>
          <w:sz w:val="24"/>
          <w:highlight w:val="none"/>
        </w:rPr>
        <w:t>要求</w:t>
      </w:r>
      <w:r>
        <w:rPr>
          <w:rFonts w:hint="eastAsia" w:ascii="宋体" w:hAnsi="宋体" w:cs="宋体"/>
          <w:color w:val="auto"/>
          <w:kern w:val="0"/>
          <w:sz w:val="24"/>
          <w:highlight w:val="none"/>
        </w:rPr>
        <w:t>对</w:t>
      </w:r>
      <w:r>
        <w:rPr>
          <w:rFonts w:hint="eastAsia" w:ascii="宋体" w:hAnsi="宋体" w:cs="宋体"/>
          <w:color w:val="auto"/>
          <w:kern w:val="0"/>
          <w:sz w:val="24"/>
          <w:highlight w:val="none"/>
          <w:lang w:val="en-US" w:eastAsia="zh-CN"/>
        </w:rPr>
        <w:t>产品</w:t>
      </w:r>
      <w:r>
        <w:rPr>
          <w:rFonts w:ascii="宋体" w:hAnsi="宋体" w:cs="宋体"/>
          <w:color w:val="auto"/>
          <w:kern w:val="0"/>
          <w:sz w:val="24"/>
          <w:highlight w:val="none"/>
        </w:rPr>
        <w:t>进行验收</w:t>
      </w:r>
      <w:r>
        <w:rPr>
          <w:rFonts w:hint="eastAsia" w:ascii="宋体" w:hAnsi="宋体" w:cs="宋体"/>
          <w:color w:val="auto"/>
          <w:kern w:val="0"/>
          <w:sz w:val="24"/>
          <w:highlight w:val="none"/>
        </w:rPr>
        <w:t>。</w:t>
      </w:r>
    </w:p>
    <w:p w14:paraId="682CE2CA">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2、</w:t>
      </w:r>
      <w:r>
        <w:rPr>
          <w:rFonts w:hint="eastAsia" w:ascii="宋体" w:hAnsi="宋体" w:cs="宋体"/>
          <w:color w:val="auto"/>
          <w:kern w:val="0"/>
          <w:sz w:val="24"/>
          <w:highlight w:val="none"/>
          <w:lang w:eastAsia="zh-CN"/>
        </w:rPr>
        <w:t>采购人</w:t>
      </w:r>
      <w:r>
        <w:rPr>
          <w:rFonts w:hint="eastAsia" w:ascii="宋体" w:hAnsi="宋体" w:cs="宋体"/>
          <w:color w:val="auto"/>
          <w:kern w:val="0"/>
          <w:sz w:val="24"/>
          <w:highlight w:val="none"/>
        </w:rPr>
        <w:t>应按合同约定及时结付服务费用。</w:t>
      </w:r>
    </w:p>
    <w:p w14:paraId="6FF9170A">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（二）</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权利及义务</w:t>
      </w:r>
    </w:p>
    <w:p w14:paraId="5E04881B">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1、</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根据招标</w:t>
      </w:r>
      <w:r>
        <w:rPr>
          <w:rFonts w:ascii="宋体" w:hAnsi="宋体" w:cs="宋体"/>
          <w:color w:val="auto"/>
          <w:kern w:val="0"/>
          <w:sz w:val="24"/>
          <w:highlight w:val="none"/>
        </w:rPr>
        <w:t>要求</w:t>
      </w:r>
      <w:r>
        <w:rPr>
          <w:rFonts w:hint="eastAsia" w:ascii="宋体" w:hAnsi="宋体" w:cs="宋体"/>
          <w:color w:val="auto"/>
          <w:kern w:val="0"/>
          <w:sz w:val="24"/>
          <w:highlight w:val="none"/>
        </w:rPr>
        <w:t>，</w:t>
      </w:r>
      <w:r>
        <w:rPr>
          <w:rFonts w:ascii="宋体" w:hAnsi="宋体" w:cs="宋体"/>
          <w:color w:val="auto"/>
          <w:kern w:val="0"/>
          <w:sz w:val="24"/>
          <w:highlight w:val="none"/>
        </w:rPr>
        <w:t>确保</w:t>
      </w:r>
      <w:r>
        <w:rPr>
          <w:rFonts w:hint="eastAsia" w:ascii="宋体" w:hAnsi="宋体" w:cs="宋体"/>
          <w:color w:val="auto"/>
          <w:kern w:val="0"/>
          <w:sz w:val="24"/>
          <w:highlight w:val="none"/>
          <w:lang w:val="en-US" w:eastAsia="zh-CN"/>
        </w:rPr>
        <w:t>产品</w:t>
      </w:r>
      <w:r>
        <w:rPr>
          <w:rFonts w:hint="eastAsia" w:ascii="宋体" w:hAnsi="宋体" w:cs="宋体"/>
          <w:color w:val="auto"/>
          <w:kern w:val="0"/>
          <w:sz w:val="24"/>
          <w:highlight w:val="none"/>
        </w:rPr>
        <w:t>如期</w:t>
      </w:r>
      <w:r>
        <w:rPr>
          <w:rFonts w:ascii="宋体" w:hAnsi="宋体" w:cs="宋体"/>
          <w:color w:val="auto"/>
          <w:kern w:val="0"/>
          <w:sz w:val="24"/>
          <w:highlight w:val="none"/>
        </w:rPr>
        <w:t>保质保量</w:t>
      </w:r>
      <w:r>
        <w:rPr>
          <w:rFonts w:hint="eastAsia" w:ascii="宋体" w:hAnsi="宋体" w:cs="宋体"/>
          <w:color w:val="auto"/>
          <w:kern w:val="0"/>
          <w:sz w:val="24"/>
          <w:highlight w:val="none"/>
        </w:rPr>
        <w:t>交付。</w:t>
      </w:r>
    </w:p>
    <w:p w14:paraId="7A21E2E2">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2、</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确保所供</w:t>
      </w:r>
      <w:r>
        <w:rPr>
          <w:rFonts w:hint="eastAsia" w:ascii="宋体" w:hAnsi="宋体" w:cs="宋体"/>
          <w:color w:val="auto"/>
          <w:kern w:val="0"/>
          <w:sz w:val="24"/>
          <w:highlight w:val="none"/>
          <w:lang w:val="en-US" w:eastAsia="zh-CN"/>
        </w:rPr>
        <w:t>产品</w:t>
      </w:r>
      <w:r>
        <w:rPr>
          <w:rFonts w:hint="eastAsia" w:ascii="宋体" w:hAnsi="宋体" w:cs="宋体"/>
          <w:color w:val="auto"/>
          <w:kern w:val="0"/>
          <w:sz w:val="24"/>
          <w:highlight w:val="none"/>
        </w:rPr>
        <w:t>供货渠道正规、产地及制造商明确，产品销售记录可追溯，生产厂家授权及售后服务承诺函完整。</w:t>
      </w:r>
    </w:p>
    <w:p w14:paraId="596EEDCF">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3、</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应保证因供货不善而产生的所有风险，并自行承担由此导致的所有法律责任。</w:t>
      </w:r>
    </w:p>
    <w:p w14:paraId="70DB24C3">
      <w:pPr>
        <w:tabs>
          <w:tab w:val="left" w:pos="0"/>
          <w:tab w:val="left" w:pos="437"/>
          <w:tab w:val="left" w:pos="1311"/>
        </w:tabs>
        <w:adjustRightInd w:val="0"/>
        <w:snapToGrid w:val="0"/>
        <w:spacing w:line="360" w:lineRule="auto"/>
        <w:ind w:firstLine="482" w:firstLineChars="200"/>
        <w:jc w:val="left"/>
        <w:rPr>
          <w:rFonts w:hint="eastAsia" w:ascii="宋体" w:hAnsi="宋体" w:eastAsia="宋体" w:cs="宋体"/>
          <w:b/>
          <w:bCs/>
          <w:color w:val="auto"/>
          <w:kern w:val="0"/>
          <w:sz w:val="24"/>
          <w:highlight w:val="none"/>
        </w:rPr>
      </w:pPr>
      <w:r>
        <w:rPr>
          <w:rFonts w:hint="eastAsia" w:ascii="宋体" w:hAnsi="宋体" w:eastAsia="宋体" w:cs="宋体"/>
          <w:b/>
          <w:bCs/>
          <w:color w:val="auto"/>
          <w:kern w:val="0"/>
          <w:sz w:val="24"/>
          <w:highlight w:val="none"/>
          <w:lang w:val="en-US" w:eastAsia="zh-CN"/>
        </w:rPr>
        <w:t>十</w:t>
      </w:r>
      <w:r>
        <w:rPr>
          <w:rFonts w:hint="eastAsia" w:ascii="宋体" w:hAnsi="宋体" w:cs="宋体"/>
          <w:b/>
          <w:bCs/>
          <w:color w:val="auto"/>
          <w:kern w:val="0"/>
          <w:sz w:val="24"/>
          <w:highlight w:val="none"/>
          <w:lang w:val="en-US" w:eastAsia="zh-CN"/>
        </w:rPr>
        <w:t>一</w:t>
      </w:r>
      <w:r>
        <w:rPr>
          <w:rFonts w:hint="eastAsia" w:ascii="宋体" w:hAnsi="宋体" w:eastAsia="宋体" w:cs="宋体"/>
          <w:b/>
          <w:bCs/>
          <w:color w:val="auto"/>
          <w:kern w:val="0"/>
          <w:sz w:val="24"/>
          <w:highlight w:val="none"/>
          <w:lang w:val="en-US" w:eastAsia="zh-CN"/>
        </w:rPr>
        <w:t>、</w:t>
      </w:r>
      <w:r>
        <w:rPr>
          <w:rFonts w:hint="eastAsia" w:ascii="宋体" w:hAnsi="宋体" w:eastAsia="宋体" w:cs="宋体"/>
          <w:b/>
          <w:bCs/>
          <w:color w:val="auto"/>
          <w:kern w:val="0"/>
          <w:sz w:val="24"/>
          <w:highlight w:val="none"/>
        </w:rPr>
        <w:t>不可抗力</w:t>
      </w:r>
    </w:p>
    <w:p w14:paraId="4945074B">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1、</w:t>
      </w:r>
      <w:r>
        <w:rPr>
          <w:rFonts w:hint="eastAsia" w:ascii="宋体" w:hAnsi="宋体" w:eastAsia="宋体" w:cs="宋体"/>
          <w:color w:val="auto"/>
          <w:kern w:val="0"/>
          <w:sz w:val="24"/>
          <w:highlight w:val="none"/>
        </w:rPr>
        <w:t>不可抗力是指合同双方不能预见、不能避免且不能克服的客观情况。</w:t>
      </w:r>
    </w:p>
    <w:p w14:paraId="75A71C46">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2、</w:t>
      </w:r>
      <w:r>
        <w:rPr>
          <w:rFonts w:hint="eastAsia" w:ascii="宋体" w:hAnsi="宋体" w:eastAsia="宋体" w:cs="宋体"/>
          <w:color w:val="auto"/>
          <w:kern w:val="0"/>
          <w:sz w:val="24"/>
          <w:highlight w:val="none"/>
        </w:rPr>
        <w:t>任何一方对由于不可抗力造成的部分或全部不能履行合同不承担违约责任。但迟延履行后发生不可抗力的，不能免除责任。</w:t>
      </w:r>
    </w:p>
    <w:p w14:paraId="06426864">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3、</w:t>
      </w:r>
      <w:r>
        <w:rPr>
          <w:rFonts w:hint="eastAsia" w:ascii="宋体" w:hAnsi="宋体" w:eastAsia="宋体" w:cs="宋体"/>
          <w:color w:val="auto"/>
          <w:kern w:val="0"/>
          <w:sz w:val="24"/>
          <w:highlight w:val="none"/>
        </w:rPr>
        <w:t>遇有不可抗力的一方，应及时将事件情况以书面形式告知另一方，并在事件发生后及时向另一方提交合同不能履行或部分不能履行或需要延期履行的详细报告，以及证明不可抗力发生及其持续时间的证据。</w:t>
      </w:r>
    </w:p>
    <w:p w14:paraId="73B1B95E">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hint="eastAsia" w:ascii="宋体" w:hAnsi="宋体" w:cs="宋体"/>
          <w:b/>
          <w:bCs/>
          <w:color w:val="auto"/>
          <w:kern w:val="0"/>
          <w:sz w:val="24"/>
          <w:highlight w:val="none"/>
        </w:rPr>
        <w:t>十</w:t>
      </w:r>
      <w:r>
        <w:rPr>
          <w:rFonts w:hint="eastAsia" w:ascii="宋体" w:hAnsi="宋体" w:cs="宋体"/>
          <w:b/>
          <w:bCs/>
          <w:color w:val="auto"/>
          <w:kern w:val="0"/>
          <w:sz w:val="24"/>
          <w:highlight w:val="none"/>
          <w:lang w:val="en-US" w:eastAsia="zh-CN"/>
        </w:rPr>
        <w:t>二</w:t>
      </w:r>
      <w:r>
        <w:rPr>
          <w:rFonts w:ascii="宋体" w:hAnsi="宋体" w:cs="宋体"/>
          <w:b/>
          <w:bCs/>
          <w:color w:val="auto"/>
          <w:kern w:val="0"/>
          <w:sz w:val="24"/>
          <w:highlight w:val="none"/>
        </w:rPr>
        <w:t>、争议的解决</w:t>
      </w:r>
    </w:p>
    <w:p w14:paraId="0602AAC7">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因本合同而引起的或与本合同</w:t>
      </w:r>
      <w:r>
        <w:rPr>
          <w:rFonts w:ascii="宋体" w:hAnsi="宋体" w:cs="宋体"/>
          <w:color w:val="auto"/>
          <w:kern w:val="0"/>
          <w:sz w:val="24"/>
          <w:highlight w:val="none"/>
        </w:rPr>
        <w:t>有关的</w:t>
      </w:r>
      <w:r>
        <w:rPr>
          <w:rFonts w:hint="eastAsia" w:ascii="宋体" w:hAnsi="宋体" w:cs="宋体"/>
          <w:color w:val="auto"/>
          <w:kern w:val="0"/>
          <w:sz w:val="24"/>
          <w:highlight w:val="none"/>
        </w:rPr>
        <w:t>任何</w:t>
      </w:r>
      <w:r>
        <w:rPr>
          <w:rFonts w:ascii="宋体" w:hAnsi="宋体" w:cs="宋体"/>
          <w:color w:val="auto"/>
          <w:kern w:val="0"/>
          <w:sz w:val="24"/>
          <w:highlight w:val="none"/>
        </w:rPr>
        <w:t>争议</w:t>
      </w:r>
      <w:r>
        <w:rPr>
          <w:rFonts w:hint="eastAsia" w:ascii="宋体" w:hAnsi="宋体" w:cs="宋体"/>
          <w:color w:val="auto"/>
          <w:kern w:val="0"/>
          <w:sz w:val="24"/>
          <w:highlight w:val="none"/>
        </w:rPr>
        <w:t>，双方应当友好协商解决。如协商未能达成一致时，按</w:t>
      </w:r>
      <w:r>
        <w:rPr>
          <w:rFonts w:ascii="宋体" w:hAnsi="宋体" w:cs="宋体"/>
          <w:color w:val="auto"/>
          <w:kern w:val="0"/>
          <w:sz w:val="24"/>
          <w:highlight w:val="none"/>
        </w:rPr>
        <w:t>以下第</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u w:val="single"/>
          <w:lang w:eastAsia="zh-CN"/>
        </w:rPr>
        <w:t>（</w:t>
      </w:r>
      <w:r>
        <w:rPr>
          <w:rFonts w:hint="eastAsia" w:ascii="宋体" w:hAnsi="宋体" w:cs="宋体"/>
          <w:color w:val="auto"/>
          <w:kern w:val="0"/>
          <w:sz w:val="24"/>
          <w:highlight w:val="none"/>
          <w:u w:val="single"/>
          <w:lang w:val="en-US" w:eastAsia="zh-CN"/>
        </w:rPr>
        <w:t>2</w:t>
      </w:r>
      <w:r>
        <w:rPr>
          <w:rFonts w:hint="eastAsia" w:ascii="宋体" w:hAnsi="宋体" w:cs="宋体"/>
          <w:color w:val="auto"/>
          <w:kern w:val="0"/>
          <w:sz w:val="24"/>
          <w:highlight w:val="none"/>
          <w:u w:val="single"/>
          <w:lang w:eastAsia="zh-CN"/>
        </w:rPr>
        <w:t>）</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种</w:t>
      </w:r>
      <w:r>
        <w:rPr>
          <w:rFonts w:ascii="宋体" w:hAnsi="宋体" w:cs="宋体"/>
          <w:color w:val="auto"/>
          <w:kern w:val="0"/>
          <w:sz w:val="24"/>
          <w:highlight w:val="none"/>
        </w:rPr>
        <w:t>方式解决</w:t>
      </w:r>
      <w:r>
        <w:rPr>
          <w:rFonts w:hint="eastAsia" w:ascii="宋体" w:hAnsi="宋体" w:cs="宋体"/>
          <w:color w:val="auto"/>
          <w:kern w:val="0"/>
          <w:sz w:val="24"/>
          <w:highlight w:val="none"/>
        </w:rPr>
        <w:t>。</w:t>
      </w:r>
    </w:p>
    <w:p w14:paraId="49D165DA">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（1</w:t>
      </w:r>
      <w:r>
        <w:rPr>
          <w:rFonts w:ascii="宋体" w:hAnsi="宋体" w:cs="宋体"/>
          <w:color w:val="auto"/>
          <w:kern w:val="0"/>
          <w:sz w:val="24"/>
          <w:highlight w:val="none"/>
        </w:rPr>
        <w:t>）</w:t>
      </w:r>
      <w:r>
        <w:rPr>
          <w:rFonts w:hint="eastAsia" w:ascii="宋体" w:hAnsi="宋体" w:cs="宋体"/>
          <w:color w:val="auto"/>
          <w:kern w:val="0"/>
          <w:sz w:val="24"/>
          <w:highlight w:val="none"/>
        </w:rPr>
        <w:t>向有管辖权的人民法院提起诉讼。</w:t>
      </w:r>
    </w:p>
    <w:p w14:paraId="24A09083">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（2</w:t>
      </w:r>
      <w:r>
        <w:rPr>
          <w:rFonts w:ascii="宋体" w:hAnsi="宋体" w:cs="宋体"/>
          <w:color w:val="auto"/>
          <w:kern w:val="0"/>
          <w:sz w:val="24"/>
          <w:highlight w:val="none"/>
        </w:rPr>
        <w:t>）</w:t>
      </w:r>
      <w:r>
        <w:rPr>
          <w:rFonts w:hint="eastAsia" w:ascii="宋体" w:hAnsi="宋体" w:cs="宋体"/>
          <w:color w:val="auto"/>
          <w:kern w:val="0"/>
          <w:sz w:val="24"/>
          <w:highlight w:val="none"/>
        </w:rPr>
        <w:t>向</w:t>
      </w:r>
      <w:r>
        <w:rPr>
          <w:rFonts w:hint="eastAsia" w:ascii="宋体" w:hAnsi="宋体" w:cs="宋体"/>
          <w:color w:val="auto"/>
          <w:kern w:val="0"/>
          <w:sz w:val="24"/>
          <w:highlight w:val="none"/>
          <w:lang w:val="en-US" w:eastAsia="zh-CN"/>
        </w:rPr>
        <w:t>渭南市</w:t>
      </w:r>
      <w:r>
        <w:rPr>
          <w:rFonts w:ascii="宋体" w:hAnsi="宋体" w:cs="宋体"/>
          <w:color w:val="auto"/>
          <w:kern w:val="0"/>
          <w:sz w:val="24"/>
          <w:highlight w:val="none"/>
        </w:rPr>
        <w:t>仲裁委员会</w:t>
      </w:r>
      <w:r>
        <w:rPr>
          <w:rFonts w:hint="eastAsia" w:ascii="宋体" w:hAnsi="宋体" w:cs="宋体"/>
          <w:color w:val="auto"/>
          <w:kern w:val="0"/>
          <w:sz w:val="24"/>
          <w:highlight w:val="none"/>
        </w:rPr>
        <w:t>提起</w:t>
      </w:r>
      <w:r>
        <w:rPr>
          <w:rFonts w:ascii="宋体" w:hAnsi="宋体" w:cs="宋体"/>
          <w:color w:val="auto"/>
          <w:kern w:val="0"/>
          <w:sz w:val="24"/>
          <w:highlight w:val="none"/>
        </w:rPr>
        <w:t>仲裁</w:t>
      </w:r>
      <w:r>
        <w:rPr>
          <w:rFonts w:hint="eastAsia" w:ascii="宋体" w:hAnsi="宋体" w:cs="宋体"/>
          <w:color w:val="auto"/>
          <w:kern w:val="0"/>
          <w:sz w:val="24"/>
          <w:highlight w:val="none"/>
        </w:rPr>
        <w:t>。</w:t>
      </w:r>
    </w:p>
    <w:p w14:paraId="4AD7F3E1">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hint="eastAsia" w:ascii="宋体" w:hAnsi="宋体" w:cs="宋体"/>
          <w:b/>
          <w:bCs/>
          <w:color w:val="auto"/>
          <w:kern w:val="0"/>
          <w:sz w:val="24"/>
          <w:highlight w:val="none"/>
        </w:rPr>
        <w:t>十</w:t>
      </w:r>
      <w:r>
        <w:rPr>
          <w:rFonts w:hint="eastAsia" w:ascii="宋体" w:hAnsi="宋体" w:cs="宋体"/>
          <w:b/>
          <w:bCs/>
          <w:color w:val="auto"/>
          <w:kern w:val="0"/>
          <w:sz w:val="24"/>
          <w:highlight w:val="none"/>
          <w:lang w:val="en-US" w:eastAsia="zh-CN"/>
        </w:rPr>
        <w:t>三</w:t>
      </w:r>
      <w:r>
        <w:rPr>
          <w:rFonts w:ascii="宋体" w:hAnsi="宋体" w:cs="宋体"/>
          <w:b/>
          <w:bCs/>
          <w:color w:val="auto"/>
          <w:kern w:val="0"/>
          <w:sz w:val="24"/>
          <w:highlight w:val="none"/>
        </w:rPr>
        <w:t>、违约责任</w:t>
      </w:r>
    </w:p>
    <w:p w14:paraId="77528E9C">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ascii="宋体" w:hAnsi="宋体" w:cs="宋体"/>
          <w:color w:val="auto"/>
          <w:kern w:val="0"/>
          <w:sz w:val="24"/>
          <w:highlight w:val="none"/>
        </w:rPr>
        <w:t>（</w:t>
      </w:r>
      <w:r>
        <w:rPr>
          <w:rFonts w:hint="eastAsia" w:ascii="宋体" w:hAnsi="宋体" w:cs="宋体"/>
          <w:color w:val="auto"/>
          <w:kern w:val="0"/>
          <w:sz w:val="24"/>
          <w:highlight w:val="none"/>
        </w:rPr>
        <w:t>一</w:t>
      </w:r>
      <w:r>
        <w:rPr>
          <w:rFonts w:ascii="宋体" w:hAnsi="宋体" w:cs="宋体"/>
          <w:color w:val="auto"/>
          <w:kern w:val="0"/>
          <w:sz w:val="24"/>
          <w:highlight w:val="none"/>
        </w:rPr>
        <w:t>）未按合同要求提供</w:t>
      </w:r>
      <w:r>
        <w:rPr>
          <w:rFonts w:hint="eastAsia" w:ascii="宋体" w:hAnsi="宋体" w:cs="宋体"/>
          <w:color w:val="auto"/>
          <w:kern w:val="0"/>
          <w:sz w:val="24"/>
          <w:highlight w:val="none"/>
          <w:lang w:val="en-US" w:eastAsia="zh-CN"/>
        </w:rPr>
        <w:t>货物</w:t>
      </w:r>
      <w:r>
        <w:rPr>
          <w:rFonts w:ascii="宋体" w:hAnsi="宋体" w:cs="宋体"/>
          <w:color w:val="auto"/>
          <w:kern w:val="0"/>
          <w:sz w:val="24"/>
          <w:highlight w:val="none"/>
        </w:rPr>
        <w:t>或</w:t>
      </w:r>
      <w:r>
        <w:rPr>
          <w:rFonts w:hint="eastAsia" w:ascii="宋体" w:hAnsi="宋体" w:cs="宋体"/>
          <w:color w:val="auto"/>
          <w:kern w:val="0"/>
          <w:sz w:val="24"/>
          <w:highlight w:val="none"/>
        </w:rPr>
        <w:t>服务</w:t>
      </w:r>
      <w:r>
        <w:rPr>
          <w:rFonts w:ascii="宋体" w:hAnsi="宋体" w:cs="宋体"/>
          <w:color w:val="auto"/>
          <w:kern w:val="0"/>
          <w:sz w:val="24"/>
          <w:highlight w:val="none"/>
        </w:rPr>
        <w:t>质量不能满足合同要求，</w:t>
      </w:r>
      <w:r>
        <w:rPr>
          <w:rFonts w:hint="eastAsia" w:ascii="宋体" w:hAnsi="宋体" w:cs="宋体"/>
          <w:color w:val="auto"/>
          <w:kern w:val="0"/>
          <w:sz w:val="24"/>
          <w:highlight w:val="none"/>
        </w:rPr>
        <w:t>采购人应当将供应商违约的情况以及拟采取的措施以书面形式报政府采购监管部门，根据政府采购监管部门的处理意见，采购人有权依据《中华人民共和国民法典》有关条款及合同约定终止合同，并要求供应商承担违约责任。同时，政府采购监管部门有权依据《中华人民共和国政府采购法》及相关法律法规对供货商的违法行为进行相应的处罚。</w:t>
      </w:r>
    </w:p>
    <w:p w14:paraId="4FD1D73B">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（二）其他未尽事宜，</w:t>
      </w:r>
      <w:r>
        <w:rPr>
          <w:rFonts w:ascii="宋体" w:hAnsi="宋体" w:cs="宋体"/>
          <w:color w:val="auto"/>
          <w:kern w:val="0"/>
          <w:sz w:val="24"/>
          <w:highlight w:val="none"/>
        </w:rPr>
        <w:t>按《中华人民共和国</w:t>
      </w:r>
      <w:r>
        <w:rPr>
          <w:rFonts w:hint="eastAsia" w:ascii="宋体" w:hAnsi="宋体" w:cs="宋体"/>
          <w:color w:val="auto"/>
          <w:kern w:val="0"/>
          <w:sz w:val="24"/>
          <w:highlight w:val="none"/>
        </w:rPr>
        <w:t>民法典</w:t>
      </w:r>
      <w:r>
        <w:rPr>
          <w:rFonts w:ascii="宋体" w:hAnsi="宋体" w:cs="宋体"/>
          <w:color w:val="auto"/>
          <w:kern w:val="0"/>
          <w:sz w:val="24"/>
          <w:highlight w:val="none"/>
        </w:rPr>
        <w:t>》中的相关条款执行。</w:t>
      </w:r>
    </w:p>
    <w:p w14:paraId="19511EB0">
      <w:pPr>
        <w:spacing w:line="360" w:lineRule="auto"/>
        <w:ind w:firstLine="482" w:firstLineChars="200"/>
        <w:rPr>
          <w:rFonts w:hint="eastAsia"/>
          <w:b/>
          <w:bCs/>
          <w:color w:val="auto"/>
          <w:sz w:val="24"/>
          <w:highlight w:val="none"/>
        </w:rPr>
      </w:pPr>
      <w:r>
        <w:rPr>
          <w:rFonts w:hint="eastAsia"/>
          <w:b/>
          <w:bCs/>
          <w:color w:val="auto"/>
          <w:sz w:val="24"/>
          <w:highlight w:val="none"/>
        </w:rPr>
        <w:t>十</w:t>
      </w:r>
      <w:r>
        <w:rPr>
          <w:rFonts w:hint="eastAsia"/>
          <w:b/>
          <w:bCs/>
          <w:color w:val="auto"/>
          <w:sz w:val="24"/>
          <w:highlight w:val="none"/>
          <w:lang w:val="en-US" w:eastAsia="zh-CN"/>
        </w:rPr>
        <w:t>四</w:t>
      </w:r>
      <w:bookmarkStart w:id="1" w:name="_GoBack"/>
      <w:bookmarkEnd w:id="1"/>
      <w:r>
        <w:rPr>
          <w:rFonts w:hint="eastAsia"/>
          <w:b/>
          <w:bCs/>
          <w:color w:val="auto"/>
          <w:sz w:val="24"/>
          <w:highlight w:val="none"/>
        </w:rPr>
        <w:t>、其他</w:t>
      </w:r>
    </w:p>
    <w:p w14:paraId="3CE0346C">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1、本合同经采购人、供应商法定代表人或其委托人签字并加盖公章后生效。</w:t>
      </w:r>
    </w:p>
    <w:p w14:paraId="51D8A174">
      <w:pPr>
        <w:bidi w:val="0"/>
        <w:ind w:firstLine="480" w:firstLineChars="200"/>
        <w:rPr>
          <w:rFonts w:hint="eastAsia" w:ascii="宋体" w:hAnsi="宋体" w:eastAsia="宋体" w:cs="宋体"/>
          <w:color w:val="auto"/>
          <w:sz w:val="24"/>
          <w:highlight w:val="none"/>
        </w:rPr>
      </w:pPr>
      <w:r>
        <w:rPr>
          <w:rFonts w:hint="eastAsia" w:ascii="宋体" w:hAnsi="宋体" w:cs="宋体"/>
          <w:color w:val="auto"/>
          <w:kern w:val="0"/>
          <w:sz w:val="24"/>
          <w:highlight w:val="none"/>
        </w:rPr>
        <w:t>2、本合同一式六份，采购人、供应商各执两份，其余二份提供给相关单位。</w:t>
      </w:r>
    </w:p>
    <w:p w14:paraId="5C1219B3">
      <w:pPr>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采购人（章）：                           中标人（章）：        </w:t>
      </w:r>
    </w:p>
    <w:p w14:paraId="3A1FEFB5">
      <w:pPr>
        <w:ind w:firstLine="480" w:firstLineChars="200"/>
        <w:rPr>
          <w:rFonts w:hint="eastAsia" w:ascii="宋体" w:hAnsi="宋体" w:eastAsia="宋体" w:cs="宋体"/>
          <w:color w:val="auto"/>
          <w:sz w:val="24"/>
          <w:highlight w:val="none"/>
        </w:rPr>
      </w:pPr>
    </w:p>
    <w:p w14:paraId="42FD577F">
      <w:pPr>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法定代表人                 　          　法定代表人  </w:t>
      </w:r>
    </w:p>
    <w:p w14:paraId="5463E2CE">
      <w:pPr>
        <w:rPr>
          <w:rFonts w:hint="eastAsia" w:ascii="宋体" w:hAnsi="宋体" w:eastAsia="宋体" w:cs="宋体"/>
          <w:color w:val="auto"/>
          <w:sz w:val="24"/>
          <w:highlight w:val="none"/>
        </w:rPr>
      </w:pPr>
      <w:r>
        <w:rPr>
          <w:rFonts w:hint="eastAsia" w:ascii="宋体" w:hAnsi="宋体" w:eastAsia="宋体" w:cs="宋体"/>
          <w:color w:val="auto"/>
          <w:sz w:val="24"/>
          <w:highlight w:val="none"/>
        </w:rPr>
        <w:t>或委托代理人（签字或盖章）：             或委托代理人（签字或盖章）：</w:t>
      </w:r>
    </w:p>
    <w:p w14:paraId="7BA76607">
      <w:pPr>
        <w:ind w:firstLine="1200" w:firstLineChars="500"/>
        <w:rPr>
          <w:rFonts w:hint="eastAsia" w:ascii="宋体" w:hAnsi="宋体" w:eastAsia="宋体" w:cs="宋体"/>
          <w:color w:val="auto"/>
          <w:sz w:val="24"/>
          <w:highlight w:val="none"/>
        </w:rPr>
      </w:pPr>
      <w:r>
        <w:rPr>
          <w:rFonts w:hint="eastAsia" w:ascii="宋体" w:hAnsi="宋体" w:eastAsia="宋体" w:cs="宋体"/>
          <w:color w:val="auto"/>
          <w:sz w:val="24"/>
          <w:highlight w:val="none"/>
        </w:rPr>
        <w:t>年   月   日                             年   月   日</w:t>
      </w:r>
    </w:p>
    <w:p w14:paraId="228B1872">
      <w:pPr>
        <w:pStyle w:val="12"/>
        <w:rPr>
          <w:rFonts w:hint="eastAsia" w:ascii="宋体" w:hAnsi="宋体" w:eastAsia="宋体" w:cs="宋体"/>
          <w:color w:val="auto"/>
          <w:highlight w:val="none"/>
        </w:rPr>
      </w:pPr>
    </w:p>
    <w:p w14:paraId="3DF5482B"/>
    <w:sectPr>
      <w:footerReference r:id="rId5" w:type="default"/>
      <w:pgSz w:w="11906" w:h="16838"/>
      <w:pgMar w:top="1417" w:right="1417" w:bottom="1417" w:left="1417" w:header="851" w:footer="992" w:gutter="0"/>
      <w:pgNumType w:fmt="decimal"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_GB2312">
    <w:altName w:val="Courier New"/>
    <w:panose1 w:val="00000000000000000000"/>
    <w:charset w:val="00"/>
    <w:family w:val="auto"/>
    <w:pitch w:val="default"/>
    <w:sig w:usb0="00000000" w:usb1="00000000" w:usb2="00000000" w:usb3="00000000" w:csb0="00000001" w:csb1="00000000"/>
  </w:font>
  <w:font w:name="Cambria">
    <w:panose1 w:val="02040503050406030204"/>
    <w:charset w:val="00"/>
    <w:family w:val="roman"/>
    <w:pitch w:val="default"/>
    <w:sig w:usb0="E00006FF" w:usb1="420024FF" w:usb2="02000000" w:usb3="00000000" w:csb0="2000019F" w:csb1="00000000"/>
  </w:font>
  <w:font w:name="华文楷体">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B20EFC">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0BEADD5">
                          <w:pPr>
                            <w:pStyle w:val="9"/>
                          </w:pPr>
                          <w:r>
                            <w:fldChar w:fldCharType="begin"/>
                          </w:r>
                          <w:r>
                            <w:instrText xml:space="preserve"> PAGE  \* MERGEFORMAT </w:instrText>
                          </w:r>
                          <w:r>
                            <w:fldChar w:fldCharType="separate"/>
                          </w:r>
                          <w:r>
                            <w:t>2</w:t>
                          </w:r>
                          <w:r>
                            <w:fldChar w:fldCharType="end"/>
                          </w: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dtC+LIAQAAmQMAAA4AAAAAAAAAAQAgAAAAHgEAAGRycy9lMm9Eb2Mu&#10;eG1sUEsFBgAAAAAGAAYAWQEAAFgFAAAAAA==&#10;">
              <v:fill on="f" focussize="0,0"/>
              <v:stroke on="f"/>
              <v:imagedata o:title=""/>
              <o:lock v:ext="edit" aspectratio="f"/>
              <v:textbox inset="0mm,0mm,0mm,0mm" style="mso-fit-shape-to-text:t;">
                <w:txbxContent>
                  <w:p w14:paraId="20BEADD5">
                    <w:pPr>
                      <w:pStyle w:val="9"/>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1A89C3"/>
    <w:multiLevelType w:val="singleLevel"/>
    <w:tmpl w:val="091A89C3"/>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MwMmY4ODJkNTZmNjA4MTU3ODk3ZTRjOGEwYmVhNGUifQ=="/>
  </w:docVars>
  <w:rsids>
    <w:rsidRoot w:val="00000000"/>
    <w:rsid w:val="010941FC"/>
    <w:rsid w:val="045B71F9"/>
    <w:rsid w:val="079A613C"/>
    <w:rsid w:val="08F44E17"/>
    <w:rsid w:val="0A6273E5"/>
    <w:rsid w:val="0B5D0AB4"/>
    <w:rsid w:val="0ED90EEF"/>
    <w:rsid w:val="1070516A"/>
    <w:rsid w:val="15E329A1"/>
    <w:rsid w:val="1BE85270"/>
    <w:rsid w:val="1C0F0A4F"/>
    <w:rsid w:val="1D772D50"/>
    <w:rsid w:val="23166B67"/>
    <w:rsid w:val="280A628D"/>
    <w:rsid w:val="287E5795"/>
    <w:rsid w:val="29DE4614"/>
    <w:rsid w:val="2C483582"/>
    <w:rsid w:val="2C617665"/>
    <w:rsid w:val="2FDB2CCA"/>
    <w:rsid w:val="34B70F01"/>
    <w:rsid w:val="39C921EB"/>
    <w:rsid w:val="3CAF1767"/>
    <w:rsid w:val="401776B5"/>
    <w:rsid w:val="40C15F0C"/>
    <w:rsid w:val="411E572C"/>
    <w:rsid w:val="420A0F2A"/>
    <w:rsid w:val="43F6794C"/>
    <w:rsid w:val="46FD7F11"/>
    <w:rsid w:val="47906638"/>
    <w:rsid w:val="4B5210A3"/>
    <w:rsid w:val="4C96649F"/>
    <w:rsid w:val="50044C98"/>
    <w:rsid w:val="53735512"/>
    <w:rsid w:val="539F20DD"/>
    <w:rsid w:val="56A85310"/>
    <w:rsid w:val="5A56726E"/>
    <w:rsid w:val="61D03DA9"/>
    <w:rsid w:val="72C14FC3"/>
    <w:rsid w:val="740A3825"/>
    <w:rsid w:val="76355158"/>
    <w:rsid w:val="76B7148E"/>
    <w:rsid w:val="7C987DC4"/>
    <w:rsid w:val="7FB54FC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tabs>
        <w:tab w:val="left" w:pos="432"/>
        <w:tab w:val="left" w:pos="576"/>
      </w:tabs>
      <w:ind w:left="431" w:hanging="431"/>
      <w:outlineLvl w:val="0"/>
    </w:pPr>
    <w:rPr>
      <w:kern w:val="44"/>
      <w:sz w:val="44"/>
    </w:rPr>
  </w:style>
  <w:style w:type="paragraph" w:styleId="3">
    <w:name w:val="heading 2"/>
    <w:basedOn w:val="1"/>
    <w:next w:val="1"/>
    <w:unhideWhenUsed/>
    <w:qFormat/>
    <w:uiPriority w:val="0"/>
    <w:pPr>
      <w:keepNext/>
      <w:keepLines/>
      <w:spacing w:before="260" w:after="260" w:line="416" w:lineRule="auto"/>
      <w:outlineLvl w:val="1"/>
    </w:pPr>
    <w:rPr>
      <w:rFonts w:ascii="等线 Light" w:hAnsi="等线 Light" w:eastAsia="等线 Light"/>
      <w:b/>
      <w:bCs/>
      <w:sz w:val="32"/>
      <w:szCs w:val="32"/>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autoSpaceDE w:val="0"/>
      <w:autoSpaceDN w:val="0"/>
      <w:adjustRightInd w:val="0"/>
      <w:spacing w:line="640" w:lineRule="exact"/>
      <w:ind w:firstLine="585"/>
    </w:pPr>
    <w:rPr>
      <w:rFonts w:ascii="??_GB2312" w:eastAsia="Times New Roman"/>
      <w:sz w:val="32"/>
      <w:szCs w:val="32"/>
    </w:rPr>
  </w:style>
  <w:style w:type="paragraph" w:styleId="5">
    <w:name w:val="Body Text"/>
    <w:basedOn w:val="1"/>
    <w:next w:val="1"/>
    <w:qFormat/>
    <w:uiPriority w:val="99"/>
    <w:rPr>
      <w:color w:val="993300"/>
      <w:sz w:val="24"/>
    </w:rPr>
  </w:style>
  <w:style w:type="paragraph" w:styleId="6">
    <w:name w:val="Body Text Indent"/>
    <w:basedOn w:val="1"/>
    <w:next w:val="7"/>
    <w:qFormat/>
    <w:uiPriority w:val="0"/>
    <w:pPr>
      <w:ind w:firstLine="480"/>
    </w:pPr>
    <w:rPr>
      <w:rFonts w:ascii="宋体" w:hAnsi="宋体"/>
    </w:rPr>
  </w:style>
  <w:style w:type="paragraph" w:customStyle="1" w:styleId="7">
    <w:name w:val="Style1"/>
    <w:basedOn w:val="1"/>
    <w:next w:val="8"/>
    <w:qFormat/>
    <w:uiPriority w:val="0"/>
    <w:pPr>
      <w:widowControl/>
      <w:tabs>
        <w:tab w:val="left" w:pos="-720"/>
      </w:tabs>
      <w:spacing w:after="120" w:afterLines="0"/>
    </w:pPr>
    <w:rPr>
      <w:rFonts w:ascii="Times New Roman" w:hAnsi="Times New Roman" w:eastAsia="宋体" w:cs="Times New Roman"/>
      <w:spacing w:val="-3"/>
      <w:kern w:val="0"/>
      <w:sz w:val="24"/>
      <w:szCs w:val="20"/>
      <w:lang w:val="en-AU" w:eastAsia="en-US"/>
    </w:rPr>
  </w:style>
  <w:style w:type="paragraph" w:customStyle="1" w:styleId="8">
    <w:name w:val="*正文"/>
    <w:basedOn w:val="1"/>
    <w:qFormat/>
    <w:uiPriority w:val="0"/>
    <w:pPr>
      <w:ind w:firstLine="200" w:firstLineChars="200"/>
    </w:pPr>
    <w:rPr>
      <w:rFonts w:ascii="宋体" w:hAnsi="宋体"/>
      <w:szCs w:val="22"/>
    </w:rPr>
  </w:style>
  <w:style w:type="paragraph" w:styleId="9">
    <w:name w:val="footer"/>
    <w:basedOn w:val="1"/>
    <w:qFormat/>
    <w:uiPriority w:val="0"/>
    <w:pPr>
      <w:tabs>
        <w:tab w:val="center" w:pos="4153"/>
        <w:tab w:val="right" w:pos="8306"/>
      </w:tabs>
      <w:snapToGrid w:val="0"/>
      <w:jc w:val="left"/>
    </w:pPr>
    <w:rPr>
      <w:sz w:val="18"/>
      <w:szCs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toc 4"/>
    <w:basedOn w:val="1"/>
    <w:next w:val="1"/>
    <w:qFormat/>
    <w:uiPriority w:val="0"/>
    <w:pPr>
      <w:tabs>
        <w:tab w:val="left" w:pos="1890"/>
        <w:tab w:val="right" w:leader="dot" w:pos="8296"/>
      </w:tabs>
      <w:ind w:left="630" w:leftChars="300"/>
    </w:pPr>
    <w:rPr>
      <w:rFonts w:ascii="Calibri" w:hAnsi="Calibri"/>
      <w:szCs w:val="22"/>
    </w:rPr>
  </w:style>
  <w:style w:type="paragraph" w:styleId="12">
    <w:name w:val="Title"/>
    <w:basedOn w:val="1"/>
    <w:qFormat/>
    <w:uiPriority w:val="0"/>
    <w:pPr>
      <w:spacing w:before="240" w:after="60"/>
      <w:jc w:val="center"/>
      <w:outlineLvl w:val="0"/>
    </w:pPr>
    <w:rPr>
      <w:rFonts w:ascii="Cambria" w:hAnsi="Cambria"/>
      <w:b/>
      <w:bCs/>
      <w:sz w:val="32"/>
      <w:szCs w:val="32"/>
    </w:rPr>
  </w:style>
  <w:style w:type="paragraph" w:customStyle="1" w:styleId="15">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6">
    <w:name w:val="表格文字"/>
    <w:basedOn w:val="17"/>
    <w:next w:val="1"/>
    <w:qFormat/>
    <w:uiPriority w:val="0"/>
    <w:pPr>
      <w:spacing w:before="25" w:after="25" w:line="300" w:lineRule="auto"/>
    </w:pPr>
    <w:rPr>
      <w:rFonts w:ascii="宋体" w:hAnsi="宋体" w:cs="宋体"/>
      <w:spacing w:val="10"/>
      <w:kern w:val="0"/>
      <w:sz w:val="24"/>
    </w:rPr>
  </w:style>
  <w:style w:type="paragraph" w:customStyle="1" w:styleId="17">
    <w:name w:val="正文 New"/>
    <w:qFormat/>
    <w:uiPriority w:val="99"/>
    <w:pPr>
      <w:widowControl w:val="0"/>
      <w:jc w:val="both"/>
    </w:pPr>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2411</Words>
  <Characters>2434</Characters>
  <Lines>0</Lines>
  <Paragraphs>0</Paragraphs>
  <TotalTime>0</TotalTime>
  <ScaleCrop>false</ScaleCrop>
  <LinksUpToDate>false</LinksUpToDate>
  <CharactersWithSpaces>2683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2024-10-24T01:55:00Z</dcterms:created>
  <dc:creator>新瑞</dc:creator>
  <cp:lastModifiedBy>有点甜</cp:lastModifiedBy>
  <dcterms:modified xsi:type="dcterms:W3CDTF">2025-09-11T07:08:42Z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31E90B52C71049AFBE8C69C70B2A4A15_13</vt:lpwstr>
  </property>
  <property fmtid="{D5CDD505-2E9C-101B-9397-08002B2CF9AE}" pid="4" name="KSOTemplateDocerSaveRecord">
    <vt:lpwstr>eyJoZGlkIjoiNzJjY2M5OTVjNGM0MTQ2YTJhMjI4NjJlOGU5NjUwNjQiLCJ1c2VySWQiOiI1NjY1MDY3MzkifQ==</vt:lpwstr>
  </property>
</Properties>
</file>