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版本号：SXTW-2025-091720250925001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渭南市临渭区2024年畜禽粪污资源化利用整县推进项目设备采购（二次）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SXTW-2025-0917</w:t>
      </w:r>
      <w:r>
        <w:br/>
      </w:r>
      <w:r>
        <w:br/>
      </w:r>
      <w:r>
        <w:br/>
      </w:r>
    </w:p>
    <w:p>
      <w:pPr>
        <w:pStyle w:val="null3"/>
        <w:jc w:val="center"/>
        <w:outlineLvl w:val="2"/>
      </w:pPr>
      <w:r>
        <w:rPr>
          <w:rFonts w:ascii="仿宋_GB2312" w:hAnsi="仿宋_GB2312" w:cs="仿宋_GB2312" w:eastAsia="仿宋_GB2312"/>
          <w:sz w:val="28"/>
          <w:b/>
        </w:rPr>
        <w:t>渭南市临渭区畜牧发展中心</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渭南市临渭区畜牧发展中心</w:t>
      </w:r>
      <w:r>
        <w:rPr>
          <w:rFonts w:ascii="仿宋_GB2312" w:hAnsi="仿宋_GB2312" w:cs="仿宋_GB2312" w:eastAsia="仿宋_GB2312"/>
        </w:rPr>
        <w:t>委托，拟对</w:t>
      </w:r>
      <w:r>
        <w:rPr>
          <w:rFonts w:ascii="仿宋_GB2312" w:hAnsi="仿宋_GB2312" w:cs="仿宋_GB2312" w:eastAsia="仿宋_GB2312"/>
        </w:rPr>
        <w:t>渭南市临渭区2024年畜禽粪污资源化利用整县推进项目设备采购（二次）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SXTW-2025-0917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渭南市临渭区2024年畜禽粪污资源化利用整县推进项目设备采购（二次）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渭南市临渭区2024年畜禽粪污资源化利用整县推进项目设备采购（二次）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p>
      <w:pPr>
        <w:pStyle w:val="null3"/>
      </w:pPr>
      <w:r>
        <w:rPr>
          <w:rFonts w:ascii="仿宋_GB2312" w:hAnsi="仿宋_GB2312" w:cs="仿宋_GB2312" w:eastAsia="仿宋_GB2312"/>
        </w:rPr>
        <w:t>2、供应商应授权合法的人员参加投标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财务状况报告：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6、信誉信息：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供应商需按要求上传《供应商信用记录书面声明函》，并进行电子签章。</w:t>
      </w:r>
    </w:p>
    <w:p>
      <w:pPr>
        <w:pStyle w:val="null3"/>
      </w:pPr>
      <w:r>
        <w:rPr>
          <w:rFonts w:ascii="仿宋_GB2312" w:hAnsi="仿宋_GB2312" w:cs="仿宋_GB2312" w:eastAsia="仿宋_GB2312"/>
        </w:rPr>
        <w:t>7、无重大违法记录书面声明：参加政府采购活动前三年内在经营活动中无重大违法记录的书面声明。供应商需在项目电子化交易系统中按要求上传《无重大违法记录书面声明》，并进行电子签章。</w:t>
      </w:r>
    </w:p>
    <w:p>
      <w:pPr>
        <w:pStyle w:val="null3"/>
      </w:pPr>
      <w:r>
        <w:rPr>
          <w:rFonts w:ascii="仿宋_GB2312" w:hAnsi="仿宋_GB2312" w:cs="仿宋_GB2312" w:eastAsia="仿宋_GB2312"/>
        </w:rPr>
        <w:t>8、具有履行合同的声明：提供具有履行本合同所必需的设备和专业技术能力的说明及承诺。供应商需在项目电子化交易系统中按要求上传《书面声明》，并进行电子签章。</w:t>
      </w:r>
    </w:p>
    <w:p>
      <w:pPr>
        <w:pStyle w:val="null3"/>
      </w:pPr>
      <w:r>
        <w:rPr>
          <w:rFonts w:ascii="仿宋_GB2312" w:hAnsi="仿宋_GB2312" w:cs="仿宋_GB2312" w:eastAsia="仿宋_GB2312"/>
        </w:rPr>
        <w:t>9、非联合体投标声明：本项目不接受联合体投标，供应商需在项目电子化交易系统中按要求上传《非联合体投标声明》，并进行电子签章。</w:t>
      </w:r>
    </w:p>
    <w:p>
      <w:pPr>
        <w:pStyle w:val="null3"/>
      </w:pPr>
      <w:r>
        <w:rPr>
          <w:rFonts w:ascii="仿宋_GB2312" w:hAnsi="仿宋_GB2312" w:cs="仿宋_GB2312" w:eastAsia="仿宋_GB2312"/>
        </w:rPr>
        <w:t>10、无控股、管理投标声明：单位负责人为同一人或者存在直接控股、管理关系的不同投标人，不得同时参加同一合同项下的政府采购活动。供应商需在项目电子化交易系统中按要求上传《书面声明》，并进行电子签章。</w:t>
      </w:r>
    </w:p>
    <w:p>
      <w:pPr>
        <w:pStyle w:val="null3"/>
      </w:pPr>
      <w:r>
        <w:rPr>
          <w:rFonts w:ascii="仿宋_GB2312" w:hAnsi="仿宋_GB2312" w:cs="仿宋_GB2312" w:eastAsia="仿宋_GB2312"/>
        </w:rPr>
        <w:t>11、工信部查询截图：挂牌车辆需在工信部网站可查询并附相关查询截图。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渭南市临渭区畜牧发展中心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临渭区东风大街 83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渭南市临渭区畜牧发展中心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0913-3039161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钱英芳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采购包1：2,999,100.00元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和国家发改委发改办价格【2003】857号文中规定的标准执行。 2.由中标单位在领取中标通知书前，须向采购代理机构一次性支付招标代理服务费。 3.采购代理服务费账户 户 名：陕西侗伟项目管理有限公司 账 号：6105 0164 1400 0000 0348 开户银行：中国建设银行股份有限公司渭南胜利大街支行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渭南市临渭区畜牧发展中心</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渭南市临渭区畜牧发展中心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渭南市临渭区畜牧发展中心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联系人：钱英芳</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渭南市临渭区2024年畜禽粪污资源化利用整县推进项目设备采购（二次）。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2,999,100.00</w:t>
      </w:r>
    </w:p>
    <w:p>
      <w:pPr>
        <w:pStyle w:val="null3"/>
      </w:pPr>
      <w:r>
        <w:rPr>
          <w:rFonts w:ascii="仿宋_GB2312" w:hAnsi="仿宋_GB2312" w:cs="仿宋_GB2312" w:eastAsia="仿宋_GB2312"/>
        </w:rPr>
        <w:t>采购包最高限价（元）: 2,999,100.00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渭南市临渭区2024年畜禽粪污资源化利用整县推进项目设备采购（二次）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2,999,100.00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标的名称：渭南市临渭区2024年畜禽粪污资源化利用整县推进项目设备采购（二次）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运输车</w:t>
                  </w:r>
                </w:p>
                <w:p>
                  <w:pPr>
                    <w:pStyle w:val="null3"/>
                    <w:jc w:val="center"/>
                  </w:pPr>
                  <w:r>
                    <w:rPr>
                      <w:rFonts w:ascii="仿宋_GB2312" w:hAnsi="仿宋_GB2312" w:cs="仿宋_GB2312" w:eastAsia="仿宋_GB2312"/>
                      <w:sz w:val="19"/>
                    </w:rPr>
                    <w:t>（核心产品）</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1.后翻式自卸车；</w:t>
                  </w:r>
                </w:p>
                <w:p>
                  <w:pPr>
                    <w:pStyle w:val="null3"/>
                    <w:jc w:val="left"/>
                  </w:pPr>
                  <w:r>
                    <w:rPr>
                      <w:rFonts w:ascii="仿宋_GB2312" w:hAnsi="仿宋_GB2312" w:cs="仿宋_GB2312" w:eastAsia="仿宋_GB2312"/>
                      <w:sz w:val="24"/>
                    </w:rPr>
                    <w:t>2.驱动方式：6x2；</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3.功率：</w:t>
                  </w:r>
                  <w:r>
                    <w:rPr>
                      <w:rFonts w:ascii="仿宋_GB2312" w:hAnsi="仿宋_GB2312" w:cs="仿宋_GB2312" w:eastAsia="仿宋_GB2312"/>
                      <w:sz w:val="24"/>
                    </w:rPr>
                    <w:t>≥</w:t>
                  </w:r>
                  <w:r>
                    <w:rPr>
                      <w:rFonts w:ascii="仿宋_GB2312" w:hAnsi="仿宋_GB2312" w:cs="仿宋_GB2312" w:eastAsia="仿宋_GB2312"/>
                      <w:sz w:val="24"/>
                    </w:rPr>
                    <w:t>175kw；</w:t>
                  </w:r>
                </w:p>
                <w:p>
                  <w:pPr>
                    <w:pStyle w:val="null3"/>
                    <w:jc w:val="left"/>
                  </w:pPr>
                  <w:r>
                    <w:rPr>
                      <w:rFonts w:ascii="仿宋_GB2312" w:hAnsi="仿宋_GB2312" w:cs="仿宋_GB2312" w:eastAsia="仿宋_GB2312"/>
                      <w:sz w:val="24"/>
                    </w:rPr>
                    <w:t>4.排放标准：国</w:t>
                  </w:r>
                  <w:r>
                    <w:rPr>
                      <w:rFonts w:ascii="仿宋_GB2312" w:hAnsi="仿宋_GB2312" w:cs="仿宋_GB2312" w:eastAsia="仿宋_GB2312"/>
                      <w:sz w:val="24"/>
                    </w:rPr>
                    <w:t>VI</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5.变速箱：10档自动变速箱</w:t>
                  </w:r>
                </w:p>
                <w:p>
                  <w:pPr>
                    <w:pStyle w:val="null3"/>
                    <w:jc w:val="left"/>
                  </w:pPr>
                  <w:r>
                    <w:rPr>
                      <w:rFonts w:ascii="仿宋_GB2312" w:hAnsi="仿宋_GB2312" w:cs="仿宋_GB2312" w:eastAsia="仿宋_GB2312"/>
                      <w:sz w:val="24"/>
                    </w:rPr>
                    <w:t>6.货箱内部尺寸：</w:t>
                  </w:r>
                  <w:r>
                    <w:rPr>
                      <w:rFonts w:ascii="仿宋_GB2312" w:hAnsi="仿宋_GB2312" w:cs="仿宋_GB2312" w:eastAsia="仿宋_GB2312"/>
                      <w:sz w:val="24"/>
                    </w:rPr>
                    <w:t>≥</w:t>
                  </w:r>
                  <w:r>
                    <w:rPr>
                      <w:rFonts w:ascii="仿宋_GB2312" w:hAnsi="仿宋_GB2312" w:cs="仿宋_GB2312" w:eastAsia="仿宋_GB2312"/>
                      <w:sz w:val="24"/>
                    </w:rPr>
                    <w:t>4600*2200*1000</w:t>
                  </w:r>
                </w:p>
                <w:p>
                  <w:pPr>
                    <w:pStyle w:val="null3"/>
                    <w:jc w:val="left"/>
                  </w:pPr>
                  <w:r>
                    <w:rPr>
                      <w:rFonts w:ascii="仿宋_GB2312" w:hAnsi="仿宋_GB2312" w:cs="仿宋_GB2312" w:eastAsia="仿宋_GB2312"/>
                      <w:sz w:val="24"/>
                    </w:rPr>
                    <w:t>7.整车外形尺寸：</w:t>
                  </w:r>
                  <w:r>
                    <w:rPr>
                      <w:rFonts w:ascii="仿宋_GB2312" w:hAnsi="仿宋_GB2312" w:cs="仿宋_GB2312" w:eastAsia="仿宋_GB2312"/>
                      <w:sz w:val="24"/>
                    </w:rPr>
                    <w:t>≥</w:t>
                  </w:r>
                  <w:r>
                    <w:rPr>
                      <w:rFonts w:ascii="仿宋_GB2312" w:hAnsi="仿宋_GB2312" w:cs="仿宋_GB2312" w:eastAsia="仿宋_GB2312"/>
                      <w:sz w:val="24"/>
                    </w:rPr>
                    <w:t>7200*2400*2900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8.整备质量：</w:t>
                  </w:r>
                  <w:r>
                    <w:rPr>
                      <w:rFonts w:ascii="仿宋_GB2312" w:hAnsi="仿宋_GB2312" w:cs="仿宋_GB2312" w:eastAsia="仿宋_GB2312"/>
                      <w:sz w:val="24"/>
                    </w:rPr>
                    <w:t>≥</w:t>
                  </w:r>
                  <w:r>
                    <w:rPr>
                      <w:rFonts w:ascii="仿宋_GB2312" w:hAnsi="仿宋_GB2312" w:cs="仿宋_GB2312" w:eastAsia="仿宋_GB2312"/>
                      <w:sz w:val="24"/>
                    </w:rPr>
                    <w:t>9000kg</w:t>
                  </w:r>
                </w:p>
                <w:p>
                  <w:pPr>
                    <w:pStyle w:val="null3"/>
                    <w:jc w:val="left"/>
                  </w:pPr>
                  <w:r>
                    <w:rPr>
                      <w:rFonts w:ascii="仿宋_GB2312" w:hAnsi="仿宋_GB2312" w:cs="仿宋_GB2312" w:eastAsia="仿宋_GB2312"/>
                      <w:sz w:val="24"/>
                    </w:rPr>
                    <w:t>9.轴距：</w:t>
                  </w:r>
                  <w:r>
                    <w:rPr>
                      <w:rFonts w:ascii="仿宋_GB2312" w:hAnsi="仿宋_GB2312" w:cs="仿宋_GB2312" w:eastAsia="仿宋_GB2312"/>
                      <w:sz w:val="24"/>
                    </w:rPr>
                    <w:t>≥</w:t>
                  </w:r>
                  <w:r>
                    <w:rPr>
                      <w:rFonts w:ascii="仿宋_GB2312" w:hAnsi="仿宋_GB2312" w:cs="仿宋_GB2312" w:eastAsia="仿宋_GB2312"/>
                      <w:sz w:val="24"/>
                    </w:rPr>
                    <w:t>1700+2500mm</w:t>
                  </w:r>
                </w:p>
                <w:p>
                  <w:pPr>
                    <w:pStyle w:val="null3"/>
                    <w:jc w:val="left"/>
                  </w:pPr>
                  <w:r>
                    <w:rPr>
                      <w:rFonts w:ascii="仿宋_GB2312" w:hAnsi="仿宋_GB2312" w:cs="仿宋_GB2312" w:eastAsia="仿宋_GB2312"/>
                      <w:sz w:val="24"/>
                    </w:rPr>
                    <w:t>10.轮胎：10.00R20</w:t>
                  </w:r>
                </w:p>
                <w:p>
                  <w:pPr>
                    <w:pStyle w:val="null3"/>
                    <w:jc w:val="left"/>
                  </w:pPr>
                  <w:r>
                    <w:rPr>
                      <w:rFonts w:ascii="仿宋_GB2312" w:hAnsi="仿宋_GB2312" w:cs="仿宋_GB2312" w:eastAsia="仿宋_GB2312"/>
                      <w:sz w:val="24"/>
                    </w:rPr>
                    <w:t>11.轴数：3</w:t>
                  </w:r>
                </w:p>
                <w:p>
                  <w:pPr>
                    <w:pStyle w:val="null3"/>
                    <w:jc w:val="both"/>
                  </w:pPr>
                  <w:r>
                    <w:rPr>
                      <w:rFonts w:ascii="仿宋_GB2312" w:hAnsi="仿宋_GB2312" w:cs="仿宋_GB2312" w:eastAsia="仿宋_GB2312"/>
                      <w:sz w:val="24"/>
                    </w:rPr>
                    <w:t>12.燃料种类：柴油</w:t>
                  </w:r>
                </w:p>
                <w:p>
                  <w:pPr>
                    <w:pStyle w:val="null3"/>
                    <w:jc w:val="both"/>
                  </w:pPr>
                  <w:r>
                    <w:rPr>
                      <w:rFonts w:ascii="仿宋_GB2312" w:hAnsi="仿宋_GB2312" w:cs="仿宋_GB2312" w:eastAsia="仿宋_GB2312"/>
                      <w:sz w:val="24"/>
                    </w:rPr>
                    <w:t>▲13.总质量：</w:t>
                  </w:r>
                  <w:r>
                    <w:rPr>
                      <w:rFonts w:ascii="仿宋_GB2312" w:hAnsi="仿宋_GB2312" w:cs="仿宋_GB2312" w:eastAsia="仿宋_GB2312"/>
                      <w:sz w:val="24"/>
                    </w:rPr>
                    <w:t>≥</w:t>
                  </w:r>
                  <w:r>
                    <w:rPr>
                      <w:rFonts w:ascii="仿宋_GB2312" w:hAnsi="仿宋_GB2312" w:cs="仿宋_GB2312" w:eastAsia="仿宋_GB2312"/>
                      <w:sz w:val="24"/>
                    </w:rPr>
                    <w:t>24t</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叉车</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1.额定载重</w:t>
                  </w:r>
                  <w:r>
                    <w:rPr>
                      <w:rFonts w:ascii="仿宋_GB2312" w:hAnsi="仿宋_GB2312" w:cs="仿宋_GB2312" w:eastAsia="仿宋_GB2312"/>
                      <w:sz w:val="24"/>
                    </w:rPr>
                    <w:t>≥</w:t>
                  </w:r>
                  <w:r>
                    <w:rPr>
                      <w:rFonts w:ascii="仿宋_GB2312" w:hAnsi="仿宋_GB2312" w:cs="仿宋_GB2312" w:eastAsia="仿宋_GB2312"/>
                      <w:sz w:val="24"/>
                    </w:rPr>
                    <w:t>5T。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b/>
                    </w:rPr>
                    <w:t>.</w:t>
                  </w:r>
                  <w:r>
                    <w:rPr>
                      <w:rFonts w:ascii="仿宋_GB2312" w:hAnsi="仿宋_GB2312" w:cs="仿宋_GB2312" w:eastAsia="仿宋_GB2312"/>
                      <w:sz w:val="24"/>
                    </w:rPr>
                    <w:t>发动机：</w:t>
                  </w:r>
                  <w:r>
                    <w:rPr>
                      <w:rFonts w:ascii="仿宋_GB2312" w:hAnsi="仿宋_GB2312" w:cs="仿宋_GB2312" w:eastAsia="仿宋_GB2312"/>
                      <w:sz w:val="24"/>
                    </w:rPr>
                    <w:t>≥</w:t>
                  </w:r>
                  <w:r>
                    <w:rPr>
                      <w:rFonts w:ascii="仿宋_GB2312" w:hAnsi="仿宋_GB2312" w:cs="仿宋_GB2312" w:eastAsia="仿宋_GB2312"/>
                      <w:sz w:val="24"/>
                    </w:rPr>
                    <w:t>80kw</w:t>
                  </w:r>
                </w:p>
                <w:p>
                  <w:pPr>
                    <w:pStyle w:val="null3"/>
                    <w:jc w:val="both"/>
                  </w:pPr>
                  <w:r>
                    <w:rPr>
                      <w:rFonts w:ascii="仿宋_GB2312" w:hAnsi="仿宋_GB2312" w:cs="仿宋_GB2312" w:eastAsia="仿宋_GB2312"/>
                      <w:sz w:val="24"/>
                    </w:rPr>
                    <w:t>3.燃料种类：柴油</w:t>
                  </w:r>
                </w:p>
                <w:p>
                  <w:pPr>
                    <w:pStyle w:val="null3"/>
                    <w:jc w:val="left"/>
                  </w:pPr>
                  <w:r>
                    <w:rPr>
                      <w:rFonts w:ascii="仿宋_GB2312" w:hAnsi="仿宋_GB2312" w:cs="仿宋_GB2312" w:eastAsia="仿宋_GB2312"/>
                      <w:sz w:val="24"/>
                    </w:rPr>
                    <w:t>4.40铬材质加重型铸造一体式轮边减速桥</w:t>
                  </w:r>
                </w:p>
                <w:p>
                  <w:pPr>
                    <w:pStyle w:val="null3"/>
                    <w:jc w:val="left"/>
                  </w:pPr>
                  <w:r>
                    <w:rPr>
                      <w:rFonts w:ascii="仿宋_GB2312" w:hAnsi="仿宋_GB2312" w:cs="仿宋_GB2312" w:eastAsia="仿宋_GB2312"/>
                      <w:sz w:val="24"/>
                    </w:rPr>
                    <w:t>5.加大310高低速无级变速自动挡大泵变矩器</w:t>
                  </w:r>
                </w:p>
                <w:p>
                  <w:pPr>
                    <w:pStyle w:val="null3"/>
                    <w:jc w:val="left"/>
                  </w:pPr>
                  <w:r>
                    <w:rPr>
                      <w:rFonts w:ascii="仿宋_GB2312" w:hAnsi="仿宋_GB2312" w:cs="仿宋_GB2312" w:eastAsia="仿宋_GB2312"/>
                      <w:sz w:val="24"/>
                    </w:rPr>
                    <w:t>6.H型上下双折弯车体框架</w:t>
                  </w:r>
                </w:p>
                <w:p>
                  <w:pPr>
                    <w:pStyle w:val="null3"/>
                    <w:jc w:val="left"/>
                  </w:pPr>
                  <w:r>
                    <w:rPr>
                      <w:rFonts w:ascii="仿宋_GB2312" w:hAnsi="仿宋_GB2312" w:cs="仿宋_GB2312" w:eastAsia="仿宋_GB2312"/>
                      <w:sz w:val="24"/>
                    </w:rPr>
                    <w:t>7.越野叉车专用摇摆支架</w:t>
                  </w:r>
                </w:p>
                <w:p>
                  <w:pPr>
                    <w:pStyle w:val="null3"/>
                    <w:jc w:val="left"/>
                  </w:pPr>
                  <w:r>
                    <w:rPr>
                      <w:rFonts w:ascii="仿宋_GB2312" w:hAnsi="仿宋_GB2312" w:cs="仿宋_GB2312" w:eastAsia="仿宋_GB2312"/>
                      <w:sz w:val="24"/>
                    </w:rPr>
                    <w:t>8.16/70-24轮胎</w:t>
                  </w:r>
                </w:p>
                <w:p>
                  <w:pPr>
                    <w:pStyle w:val="null3"/>
                    <w:jc w:val="left"/>
                  </w:pPr>
                  <w:r>
                    <w:rPr>
                      <w:rFonts w:ascii="仿宋_GB2312" w:hAnsi="仿宋_GB2312" w:cs="仿宋_GB2312" w:eastAsia="仿宋_GB2312"/>
                      <w:sz w:val="24"/>
                    </w:rPr>
                    <w:t>9.高压抗氧化H型镀锌管路</w:t>
                  </w:r>
                </w:p>
                <w:p>
                  <w:pPr>
                    <w:pStyle w:val="null3"/>
                    <w:jc w:val="left"/>
                  </w:pPr>
                  <w:r>
                    <w:rPr>
                      <w:rFonts w:ascii="仿宋_GB2312" w:hAnsi="仿宋_GB2312" w:cs="仿宋_GB2312" w:eastAsia="仿宋_GB2312"/>
                      <w:sz w:val="24"/>
                    </w:rPr>
                    <w:t>10.双高低速跑路档</w:t>
                  </w:r>
                </w:p>
                <w:p>
                  <w:pPr>
                    <w:pStyle w:val="null3"/>
                    <w:jc w:val="left"/>
                  </w:pPr>
                  <w:r>
                    <w:rPr>
                      <w:rFonts w:ascii="仿宋_GB2312" w:hAnsi="仿宋_GB2312" w:cs="仿宋_GB2312" w:eastAsia="仿宋_GB2312"/>
                      <w:sz w:val="24"/>
                    </w:rPr>
                    <w:t>11.20锰型钢材质液压龙门架</w:t>
                  </w:r>
                  <w:r>
                    <w:rPr>
                      <w:rFonts w:ascii="仿宋_GB2312" w:hAnsi="仿宋_GB2312" w:cs="仿宋_GB2312" w:eastAsia="仿宋_GB2312"/>
                      <w:sz w:val="24"/>
                    </w:rPr>
                    <w:t>≥</w:t>
                  </w:r>
                  <w:r>
                    <w:rPr>
                      <w:rFonts w:ascii="仿宋_GB2312" w:hAnsi="仿宋_GB2312" w:cs="仿宋_GB2312" w:eastAsia="仿宋_GB2312"/>
                      <w:sz w:val="24"/>
                    </w:rPr>
                    <w:t>18公分厚度</w:t>
                  </w:r>
                </w:p>
                <w:p>
                  <w:pPr>
                    <w:pStyle w:val="null3"/>
                    <w:jc w:val="left"/>
                  </w:pPr>
                  <w:r>
                    <w:rPr>
                      <w:rFonts w:ascii="仿宋_GB2312" w:hAnsi="仿宋_GB2312" w:cs="仿宋_GB2312" w:eastAsia="仿宋_GB2312"/>
                      <w:sz w:val="24"/>
                    </w:rPr>
                    <w:t>12.加大水箱散热系统</w:t>
                  </w:r>
                </w:p>
                <w:p>
                  <w:pPr>
                    <w:pStyle w:val="null3"/>
                    <w:jc w:val="left"/>
                  </w:pPr>
                  <w:r>
                    <w:rPr>
                      <w:rFonts w:ascii="仿宋_GB2312" w:hAnsi="仿宋_GB2312" w:cs="仿宋_GB2312" w:eastAsia="仿宋_GB2312"/>
                      <w:sz w:val="24"/>
                    </w:rPr>
                    <w:t>13.70*80厘米加大加深后配重</w:t>
                  </w:r>
                </w:p>
                <w:p>
                  <w:pPr>
                    <w:pStyle w:val="null3"/>
                    <w:jc w:val="left"/>
                  </w:pPr>
                  <w:r>
                    <w:rPr>
                      <w:rFonts w:ascii="仿宋_GB2312" w:hAnsi="仿宋_GB2312" w:cs="仿宋_GB2312" w:eastAsia="仿宋_GB2312"/>
                      <w:sz w:val="24"/>
                    </w:rPr>
                    <w:t>14.可调节式液压流量阀</w:t>
                  </w:r>
                </w:p>
                <w:p>
                  <w:pPr>
                    <w:pStyle w:val="null3"/>
                    <w:jc w:val="left"/>
                  </w:pPr>
                  <w:r>
                    <w:rPr>
                      <w:rFonts w:ascii="仿宋_GB2312" w:hAnsi="仿宋_GB2312" w:cs="仿宋_GB2312" w:eastAsia="仿宋_GB2312"/>
                      <w:sz w:val="24"/>
                    </w:rPr>
                    <w:t>15.液压先导操作档杆</w:t>
                  </w:r>
                </w:p>
                <w:p>
                  <w:pPr>
                    <w:pStyle w:val="null3"/>
                    <w:jc w:val="left"/>
                  </w:pPr>
                  <w:r>
                    <w:rPr>
                      <w:rFonts w:ascii="仿宋_GB2312" w:hAnsi="仿宋_GB2312" w:cs="仿宋_GB2312" w:eastAsia="仿宋_GB2312"/>
                      <w:sz w:val="24"/>
                    </w:rPr>
                    <w:t>16.车架一体成型式内嵌式拖车钩</w:t>
                  </w:r>
                </w:p>
                <w:p>
                  <w:pPr>
                    <w:pStyle w:val="null3"/>
                    <w:jc w:val="left"/>
                  </w:pPr>
                  <w:r>
                    <w:rPr>
                      <w:rFonts w:ascii="仿宋_GB2312" w:hAnsi="仿宋_GB2312" w:cs="仿宋_GB2312" w:eastAsia="仿宋_GB2312"/>
                      <w:sz w:val="24"/>
                    </w:rPr>
                    <w:t>17.钻石切割面机罩</w:t>
                  </w:r>
                </w:p>
                <w:p>
                  <w:pPr>
                    <w:pStyle w:val="null3"/>
                    <w:jc w:val="left"/>
                  </w:pPr>
                  <w:r>
                    <w:rPr>
                      <w:rFonts w:ascii="仿宋_GB2312" w:hAnsi="仿宋_GB2312" w:cs="仿宋_GB2312" w:eastAsia="仿宋_GB2312"/>
                      <w:sz w:val="24"/>
                    </w:rPr>
                    <w:t>18.纯铸铁档泥瓦</w:t>
                  </w:r>
                </w:p>
                <w:p>
                  <w:pPr>
                    <w:pStyle w:val="null3"/>
                    <w:jc w:val="left"/>
                  </w:pPr>
                  <w:r>
                    <w:rPr>
                      <w:rFonts w:ascii="仿宋_GB2312" w:hAnsi="仿宋_GB2312" w:cs="仿宋_GB2312" w:eastAsia="仿宋_GB2312"/>
                      <w:sz w:val="24"/>
                    </w:rPr>
                    <w:t>19.车顶警示灯</w:t>
                  </w:r>
                </w:p>
                <w:p>
                  <w:pPr>
                    <w:pStyle w:val="null3"/>
                    <w:jc w:val="left"/>
                  </w:pPr>
                  <w:r>
                    <w:rPr>
                      <w:rFonts w:ascii="仿宋_GB2312" w:hAnsi="仿宋_GB2312" w:cs="仿宋_GB2312" w:eastAsia="仿宋_GB2312"/>
                      <w:sz w:val="24"/>
                    </w:rPr>
                    <w:t>20.led激光大灯</w:t>
                  </w:r>
                </w:p>
                <w:p>
                  <w:pPr>
                    <w:pStyle w:val="null3"/>
                    <w:jc w:val="left"/>
                  </w:pPr>
                  <w:r>
                    <w:rPr>
                      <w:rFonts w:ascii="仿宋_GB2312" w:hAnsi="仿宋_GB2312" w:cs="仿宋_GB2312" w:eastAsia="仿宋_GB2312"/>
                      <w:sz w:val="24"/>
                    </w:rPr>
                    <w:t>21.可调节式液压油缸</w:t>
                  </w:r>
                </w:p>
                <w:p>
                  <w:pPr>
                    <w:pStyle w:val="null3"/>
                    <w:jc w:val="left"/>
                  </w:pPr>
                  <w:r>
                    <w:rPr>
                      <w:rFonts w:ascii="仿宋_GB2312" w:hAnsi="仿宋_GB2312" w:cs="仿宋_GB2312" w:eastAsia="仿宋_GB2312"/>
                      <w:sz w:val="24"/>
                    </w:rPr>
                    <w:t>22.汽车式手刹</w:t>
                  </w:r>
                </w:p>
                <w:p>
                  <w:pPr>
                    <w:pStyle w:val="null3"/>
                    <w:jc w:val="left"/>
                  </w:pPr>
                  <w:r>
                    <w:rPr>
                      <w:rFonts w:ascii="仿宋_GB2312" w:hAnsi="仿宋_GB2312" w:cs="仿宋_GB2312" w:eastAsia="仿宋_GB2312"/>
                      <w:sz w:val="24"/>
                    </w:rPr>
                    <w:t>23.四轮独立碟刹</w:t>
                  </w:r>
                </w:p>
                <w:p>
                  <w:pPr>
                    <w:pStyle w:val="null3"/>
                    <w:jc w:val="left"/>
                  </w:pPr>
                  <w:r>
                    <w:rPr>
                      <w:rFonts w:ascii="仿宋_GB2312" w:hAnsi="仿宋_GB2312" w:cs="仿宋_GB2312" w:eastAsia="仿宋_GB2312"/>
                      <w:sz w:val="24"/>
                    </w:rPr>
                    <w:t>24.空气二次过滤系统</w:t>
                  </w:r>
                </w:p>
                <w:p>
                  <w:pPr>
                    <w:pStyle w:val="null3"/>
                    <w:jc w:val="left"/>
                  </w:pPr>
                  <w:r>
                    <w:rPr>
                      <w:rFonts w:ascii="仿宋_GB2312" w:hAnsi="仿宋_GB2312" w:cs="仿宋_GB2312" w:eastAsia="仿宋_GB2312"/>
                      <w:sz w:val="24"/>
                    </w:rPr>
                    <w:t>25.带挡保护功能</w:t>
                  </w:r>
                </w:p>
                <w:p>
                  <w:pPr>
                    <w:pStyle w:val="null3"/>
                    <w:jc w:val="left"/>
                  </w:pPr>
                  <w:r>
                    <w:rPr>
                      <w:rFonts w:ascii="仿宋_GB2312" w:hAnsi="仿宋_GB2312" w:cs="仿宋_GB2312" w:eastAsia="仿宋_GB2312"/>
                      <w:sz w:val="24"/>
                    </w:rPr>
                    <w:t>26.最大时速30KM/小时</w:t>
                  </w:r>
                </w:p>
                <w:p>
                  <w:pPr>
                    <w:pStyle w:val="null3"/>
                    <w:jc w:val="left"/>
                  </w:pPr>
                  <w:r>
                    <w:rPr>
                      <w:rFonts w:ascii="仿宋_GB2312" w:hAnsi="仿宋_GB2312" w:cs="仿宋_GB2312" w:eastAsia="仿宋_GB2312"/>
                      <w:sz w:val="24"/>
                    </w:rPr>
                    <w:t>27.双高低速无级变速</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三轮运输车</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▲1.容积</w:t>
                  </w:r>
                  <w:r>
                    <w:rPr>
                      <w:rFonts w:ascii="仿宋_GB2312" w:hAnsi="仿宋_GB2312" w:cs="仿宋_GB2312" w:eastAsia="仿宋_GB2312"/>
                      <w:sz w:val="24"/>
                    </w:rPr>
                    <w:t>≥</w:t>
                  </w:r>
                  <w:r>
                    <w:rPr>
                      <w:rFonts w:ascii="仿宋_GB2312" w:hAnsi="仿宋_GB2312" w:cs="仿宋_GB2312" w:eastAsia="仿宋_GB2312"/>
                      <w:sz w:val="24"/>
                    </w:rPr>
                    <w:t>2m³，三轮式。</w:t>
                  </w:r>
                </w:p>
                <w:p>
                  <w:pPr>
                    <w:pStyle w:val="null3"/>
                    <w:jc w:val="left"/>
                  </w:pPr>
                  <w:r>
                    <w:rPr>
                      <w:rFonts w:ascii="仿宋_GB2312" w:hAnsi="仿宋_GB2312" w:cs="仿宋_GB2312" w:eastAsia="仿宋_GB2312"/>
                      <w:sz w:val="24"/>
                    </w:rPr>
                    <w:t>2.车辆颜色：不限颜色</w:t>
                  </w:r>
                </w:p>
                <w:p>
                  <w:pPr>
                    <w:pStyle w:val="null3"/>
                    <w:jc w:val="left"/>
                  </w:pPr>
                  <w:r>
                    <w:rPr>
                      <w:rFonts w:ascii="仿宋_GB2312" w:hAnsi="仿宋_GB2312" w:cs="仿宋_GB2312" w:eastAsia="仿宋_GB2312"/>
                      <w:sz w:val="24"/>
                    </w:rPr>
                    <w:t>3.燃料种类：柴油</w:t>
                  </w:r>
                </w:p>
                <w:p>
                  <w:pPr>
                    <w:pStyle w:val="null3"/>
                    <w:jc w:val="left"/>
                  </w:pPr>
                  <w:r>
                    <w:rPr>
                      <w:rFonts w:ascii="仿宋_GB2312" w:hAnsi="仿宋_GB2312" w:cs="仿宋_GB2312" w:eastAsia="仿宋_GB2312"/>
                      <w:sz w:val="24"/>
                    </w:rPr>
                    <w:t>4.排放标准：GB18322-2002,GB20891-2014，国四</w:t>
                  </w:r>
                </w:p>
                <w:p>
                  <w:pPr>
                    <w:pStyle w:val="null3"/>
                    <w:jc w:val="left"/>
                  </w:pPr>
                  <w:r>
                    <w:rPr>
                      <w:rFonts w:ascii="仿宋_GB2312" w:hAnsi="仿宋_GB2312" w:cs="仿宋_GB2312" w:eastAsia="仿宋_GB2312"/>
                      <w:sz w:val="24"/>
                    </w:rPr>
                    <w:t>5.外廓尺寸（mm）：</w:t>
                  </w:r>
                  <w:r>
                    <w:rPr>
                      <w:rFonts w:ascii="仿宋_GB2312" w:hAnsi="仿宋_GB2312" w:cs="仿宋_GB2312" w:eastAsia="仿宋_GB2312"/>
                      <w:sz w:val="24"/>
                    </w:rPr>
                    <w:t>≥</w:t>
                  </w:r>
                  <w:r>
                    <w:rPr>
                      <w:rFonts w:ascii="仿宋_GB2312" w:hAnsi="仿宋_GB2312" w:cs="仿宋_GB2312" w:eastAsia="仿宋_GB2312"/>
                      <w:sz w:val="24"/>
                    </w:rPr>
                    <w:t>4150*1500*1800</w:t>
                  </w:r>
                </w:p>
                <w:p>
                  <w:pPr>
                    <w:pStyle w:val="null3"/>
                    <w:jc w:val="left"/>
                  </w:pPr>
                  <w:r>
                    <w:rPr>
                      <w:rFonts w:ascii="仿宋_GB2312" w:hAnsi="仿宋_GB2312" w:cs="仿宋_GB2312" w:eastAsia="仿宋_GB2312"/>
                      <w:sz w:val="24"/>
                    </w:rPr>
                    <w:t>6.货箱内部尺寸（mm）：</w:t>
                  </w:r>
                  <w:r>
                    <w:rPr>
                      <w:rFonts w:ascii="仿宋_GB2312" w:hAnsi="仿宋_GB2312" w:cs="仿宋_GB2312" w:eastAsia="仿宋_GB2312"/>
                      <w:sz w:val="24"/>
                    </w:rPr>
                    <w:t>≥</w:t>
                  </w:r>
                  <w:r>
                    <w:rPr>
                      <w:rFonts w:ascii="仿宋_GB2312" w:hAnsi="仿宋_GB2312" w:cs="仿宋_GB2312" w:eastAsia="仿宋_GB2312"/>
                      <w:sz w:val="24"/>
                    </w:rPr>
                    <w:t>2350*1450*500</w:t>
                  </w:r>
                </w:p>
                <w:p>
                  <w:pPr>
                    <w:pStyle w:val="null3"/>
                    <w:jc w:val="left"/>
                  </w:pPr>
                  <w:r>
                    <w:rPr>
                      <w:rFonts w:ascii="仿宋_GB2312" w:hAnsi="仿宋_GB2312" w:cs="仿宋_GB2312" w:eastAsia="仿宋_GB2312"/>
                      <w:sz w:val="24"/>
                    </w:rPr>
                    <w:t>7.转向方式：方向盘</w:t>
                  </w:r>
                </w:p>
                <w:p>
                  <w:pPr>
                    <w:pStyle w:val="null3"/>
                    <w:jc w:val="left"/>
                  </w:pPr>
                  <w:r>
                    <w:rPr>
                      <w:rFonts w:ascii="仿宋_GB2312" w:hAnsi="仿宋_GB2312" w:cs="仿宋_GB2312" w:eastAsia="仿宋_GB2312"/>
                      <w:sz w:val="24"/>
                    </w:rPr>
                    <w:t>8.总质量（kg）：</w:t>
                  </w:r>
                  <w:r>
                    <w:rPr>
                      <w:rFonts w:ascii="仿宋_GB2312" w:hAnsi="仿宋_GB2312" w:cs="仿宋_GB2312" w:eastAsia="仿宋_GB2312"/>
                      <w:sz w:val="24"/>
                    </w:rPr>
                    <w:t>≥</w:t>
                  </w:r>
                  <w:r>
                    <w:rPr>
                      <w:rFonts w:ascii="仿宋_GB2312" w:hAnsi="仿宋_GB2312" w:cs="仿宋_GB2312" w:eastAsia="仿宋_GB2312"/>
                      <w:sz w:val="24"/>
                    </w:rPr>
                    <w:t>1998</w:t>
                  </w:r>
                </w:p>
                <w:p>
                  <w:pPr>
                    <w:pStyle w:val="null3"/>
                    <w:jc w:val="left"/>
                  </w:pPr>
                  <w:r>
                    <w:rPr>
                      <w:rFonts w:ascii="仿宋_GB2312" w:hAnsi="仿宋_GB2312" w:cs="仿宋_GB2312" w:eastAsia="仿宋_GB2312"/>
                      <w:sz w:val="24"/>
                    </w:rPr>
                    <w:t>9.整备质量（kg）：</w:t>
                  </w:r>
                  <w:r>
                    <w:rPr>
                      <w:rFonts w:ascii="仿宋_GB2312" w:hAnsi="仿宋_GB2312" w:cs="仿宋_GB2312" w:eastAsia="仿宋_GB2312"/>
                      <w:sz w:val="24"/>
                    </w:rPr>
                    <w:t>≥</w:t>
                  </w:r>
                  <w:r>
                    <w:rPr>
                      <w:rFonts w:ascii="仿宋_GB2312" w:hAnsi="仿宋_GB2312" w:cs="仿宋_GB2312" w:eastAsia="仿宋_GB2312"/>
                      <w:sz w:val="24"/>
                    </w:rPr>
                    <w:t>1288</w:t>
                  </w:r>
                </w:p>
                <w:p>
                  <w:pPr>
                    <w:pStyle w:val="null3"/>
                    <w:jc w:val="left"/>
                  </w:pPr>
                  <w:r>
                    <w:rPr>
                      <w:rFonts w:ascii="仿宋_GB2312" w:hAnsi="仿宋_GB2312" w:cs="仿宋_GB2312" w:eastAsia="仿宋_GB2312"/>
                      <w:sz w:val="24"/>
                    </w:rPr>
                    <w:t>▲10.额定载质量（kg）：</w:t>
                  </w:r>
                  <w:r>
                    <w:rPr>
                      <w:rFonts w:ascii="仿宋_GB2312" w:hAnsi="仿宋_GB2312" w:cs="仿宋_GB2312" w:eastAsia="仿宋_GB2312"/>
                      <w:sz w:val="24"/>
                    </w:rPr>
                    <w:t>≥</w:t>
                  </w:r>
                  <w:r>
                    <w:rPr>
                      <w:rFonts w:ascii="仿宋_GB2312" w:hAnsi="仿宋_GB2312" w:cs="仿宋_GB2312" w:eastAsia="仿宋_GB2312"/>
                      <w:sz w:val="24"/>
                    </w:rPr>
                    <w:t>550</w:t>
                  </w:r>
                </w:p>
                <w:p>
                  <w:pPr>
                    <w:pStyle w:val="null3"/>
                    <w:jc w:val="left"/>
                  </w:pPr>
                  <w:r>
                    <w:rPr>
                      <w:rFonts w:ascii="仿宋_GB2312" w:hAnsi="仿宋_GB2312" w:cs="仿宋_GB2312" w:eastAsia="仿宋_GB2312"/>
                      <w:sz w:val="24"/>
                    </w:rPr>
                    <w:t>11.驾驶室承载人数（人）：2</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皮带输送机</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1.总功率</w:t>
                  </w:r>
                  <w:r>
                    <w:rPr>
                      <w:rFonts w:ascii="仿宋_GB2312" w:hAnsi="仿宋_GB2312" w:cs="仿宋_GB2312" w:eastAsia="仿宋_GB2312"/>
                      <w:sz w:val="24"/>
                    </w:rPr>
                    <w:t>≥</w:t>
                  </w:r>
                  <w:r>
                    <w:rPr>
                      <w:rFonts w:ascii="仿宋_GB2312" w:hAnsi="仿宋_GB2312" w:cs="仿宋_GB2312" w:eastAsia="仿宋_GB2312"/>
                      <w:sz w:val="24"/>
                    </w:rPr>
                    <w:t>50kw</w:t>
                  </w:r>
                </w:p>
                <w:p>
                  <w:pPr>
                    <w:pStyle w:val="null3"/>
                    <w:jc w:val="left"/>
                  </w:pPr>
                  <w:r>
                    <w:rPr>
                      <w:rFonts w:ascii="仿宋_GB2312" w:hAnsi="仿宋_GB2312" w:cs="仿宋_GB2312" w:eastAsia="仿宋_GB2312"/>
                      <w:sz w:val="24"/>
                    </w:rPr>
                    <w:t>2.带宽600mm，龙骨支架为槽钢，累计长度</w:t>
                  </w:r>
                  <w:r>
                    <w:rPr>
                      <w:rFonts w:ascii="仿宋_GB2312" w:hAnsi="仿宋_GB2312" w:cs="仿宋_GB2312" w:eastAsia="仿宋_GB2312"/>
                      <w:sz w:val="24"/>
                    </w:rPr>
                    <w:t>≥</w:t>
                  </w:r>
                  <w:r>
                    <w:rPr>
                      <w:rFonts w:ascii="仿宋_GB2312" w:hAnsi="仿宋_GB2312" w:cs="仿宋_GB2312" w:eastAsia="仿宋_GB2312"/>
                      <w:sz w:val="24"/>
                    </w:rPr>
                    <w:t>350米。</w:t>
                  </w:r>
                </w:p>
                <w:p>
                  <w:pPr>
                    <w:pStyle w:val="null3"/>
                    <w:jc w:val="left"/>
                  </w:pPr>
                  <w:r>
                    <w:rPr>
                      <w:rFonts w:ascii="仿宋_GB2312" w:hAnsi="仿宋_GB2312" w:cs="仿宋_GB2312" w:eastAsia="仿宋_GB2312"/>
                      <w:sz w:val="24"/>
                    </w:rPr>
                    <w:t>3.含设备控制箱、钮及连接电缆；</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传送机</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1.功率</w:t>
                  </w:r>
                  <w:r>
                    <w:rPr>
                      <w:rFonts w:ascii="仿宋_GB2312" w:hAnsi="仿宋_GB2312" w:cs="仿宋_GB2312" w:eastAsia="仿宋_GB2312"/>
                      <w:sz w:val="24"/>
                    </w:rPr>
                    <w:t>≥</w:t>
                  </w:r>
                  <w:r>
                    <w:rPr>
                      <w:rFonts w:ascii="仿宋_GB2312" w:hAnsi="仿宋_GB2312" w:cs="仿宋_GB2312" w:eastAsia="仿宋_GB2312"/>
                      <w:sz w:val="24"/>
                    </w:rPr>
                    <w:t>2kw</w:t>
                  </w:r>
                </w:p>
                <w:p>
                  <w:pPr>
                    <w:pStyle w:val="null3"/>
                    <w:jc w:val="left"/>
                  </w:pPr>
                  <w:r>
                    <w:rPr>
                      <w:rFonts w:ascii="仿宋_GB2312" w:hAnsi="仿宋_GB2312" w:cs="仿宋_GB2312" w:eastAsia="仿宋_GB2312"/>
                      <w:sz w:val="24"/>
                    </w:rPr>
                    <w:t>2.带宽600mm，龙骨支架为槽钢，长度</w:t>
                  </w:r>
                  <w:r>
                    <w:rPr>
                      <w:rFonts w:ascii="仿宋_GB2312" w:hAnsi="仿宋_GB2312" w:cs="仿宋_GB2312" w:eastAsia="仿宋_GB2312"/>
                      <w:sz w:val="24"/>
                    </w:rPr>
                    <w:t>≥</w:t>
                  </w:r>
                  <w:r>
                    <w:rPr>
                      <w:rFonts w:ascii="仿宋_GB2312" w:hAnsi="仿宋_GB2312" w:cs="仿宋_GB2312" w:eastAsia="仿宋_GB2312"/>
                      <w:sz w:val="24"/>
                    </w:rPr>
                    <w:t>15米。</w:t>
                  </w:r>
                </w:p>
                <w:p>
                  <w:pPr>
                    <w:pStyle w:val="null3"/>
                    <w:jc w:val="left"/>
                  </w:pPr>
                  <w:r>
                    <w:rPr>
                      <w:rFonts w:ascii="仿宋_GB2312" w:hAnsi="仿宋_GB2312" w:cs="仿宋_GB2312" w:eastAsia="仿宋_GB2312"/>
                      <w:sz w:val="24"/>
                    </w:rPr>
                    <w:t>3.含设备控制箱、钮及连接电缆；</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秸秆粉碎机</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1.时产量：</w:t>
                  </w:r>
                  <w:r>
                    <w:rPr>
                      <w:rFonts w:ascii="仿宋_GB2312" w:hAnsi="仿宋_GB2312" w:cs="仿宋_GB2312" w:eastAsia="仿宋_GB2312"/>
                      <w:sz w:val="24"/>
                    </w:rPr>
                    <w:t>≥</w:t>
                  </w:r>
                  <w:r>
                    <w:rPr>
                      <w:rFonts w:ascii="仿宋_GB2312" w:hAnsi="仿宋_GB2312" w:cs="仿宋_GB2312" w:eastAsia="仿宋_GB2312"/>
                      <w:sz w:val="24"/>
                    </w:rPr>
                    <w:t>1.5吨</w:t>
                  </w:r>
                </w:p>
                <w:p>
                  <w:pPr>
                    <w:pStyle w:val="null3"/>
                    <w:jc w:val="left"/>
                  </w:pPr>
                  <w:r>
                    <w:rPr>
                      <w:rFonts w:ascii="仿宋_GB2312" w:hAnsi="仿宋_GB2312" w:cs="仿宋_GB2312" w:eastAsia="仿宋_GB2312"/>
                      <w:sz w:val="24"/>
                    </w:rPr>
                    <w:t>2.外形尺寸：3.5*1.0*1.0m</w:t>
                  </w:r>
                </w:p>
                <w:p>
                  <w:pPr>
                    <w:pStyle w:val="null3"/>
                    <w:jc w:val="left"/>
                  </w:pPr>
                  <w:r>
                    <w:rPr>
                      <w:rFonts w:ascii="仿宋_GB2312" w:hAnsi="仿宋_GB2312" w:cs="仿宋_GB2312" w:eastAsia="仿宋_GB2312"/>
                      <w:sz w:val="24"/>
                    </w:rPr>
                    <w:t>3.总功率：</w:t>
                  </w:r>
                  <w:r>
                    <w:rPr>
                      <w:rFonts w:ascii="仿宋_GB2312" w:hAnsi="仿宋_GB2312" w:cs="仿宋_GB2312" w:eastAsia="仿宋_GB2312"/>
                      <w:sz w:val="24"/>
                    </w:rPr>
                    <w:t>≥</w:t>
                  </w:r>
                  <w:r>
                    <w:rPr>
                      <w:rFonts w:ascii="仿宋_GB2312" w:hAnsi="仿宋_GB2312" w:cs="仿宋_GB2312" w:eastAsia="仿宋_GB2312"/>
                      <w:sz w:val="24"/>
                    </w:rPr>
                    <w:t>40kw</w:t>
                  </w:r>
                </w:p>
                <w:p>
                  <w:pPr>
                    <w:pStyle w:val="null3"/>
                    <w:jc w:val="left"/>
                  </w:pPr>
                  <w:r>
                    <w:rPr>
                      <w:rFonts w:ascii="仿宋_GB2312" w:hAnsi="仿宋_GB2312" w:cs="仿宋_GB2312" w:eastAsia="仿宋_GB2312"/>
                      <w:sz w:val="24"/>
                    </w:rPr>
                    <w:t>4.出料粒度：1-100mm可调</w:t>
                  </w:r>
                </w:p>
                <w:p>
                  <w:pPr>
                    <w:pStyle w:val="null3"/>
                    <w:jc w:val="left"/>
                  </w:pPr>
                  <w:r>
                    <w:rPr>
                      <w:rFonts w:ascii="仿宋_GB2312" w:hAnsi="仿宋_GB2312" w:cs="仿宋_GB2312" w:eastAsia="仿宋_GB2312"/>
                      <w:sz w:val="24"/>
                    </w:rPr>
                    <w:t>5.粉碎原料：各种生物质秸秆、树枝、木材（直径8cm以内）</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除臭设备</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1、低温等离子</w:t>
                  </w:r>
                </w:p>
                <w:p>
                  <w:pPr>
                    <w:pStyle w:val="null3"/>
                    <w:jc w:val="left"/>
                  </w:pPr>
                  <w:r>
                    <w:rPr>
                      <w:rFonts w:ascii="仿宋_GB2312" w:hAnsi="仿宋_GB2312" w:cs="仿宋_GB2312" w:eastAsia="仿宋_GB2312"/>
                      <w:sz w:val="24"/>
                    </w:rPr>
                    <w:t>2、处理风量：</w:t>
                  </w:r>
                  <w:r>
                    <w:rPr>
                      <w:rFonts w:ascii="仿宋_GB2312" w:hAnsi="仿宋_GB2312" w:cs="仿宋_GB2312" w:eastAsia="仿宋_GB2312"/>
                      <w:sz w:val="24"/>
                    </w:rPr>
                    <w:t>≥</w:t>
                  </w:r>
                  <w:r>
                    <w:rPr>
                      <w:rFonts w:ascii="仿宋_GB2312" w:hAnsi="仿宋_GB2312" w:cs="仿宋_GB2312" w:eastAsia="仿宋_GB2312"/>
                      <w:sz w:val="24"/>
                    </w:rPr>
                    <w:t>7000m³/h；</w:t>
                  </w:r>
                </w:p>
                <w:p>
                  <w:pPr>
                    <w:pStyle w:val="null3"/>
                    <w:jc w:val="left"/>
                  </w:pPr>
                  <w:r>
                    <w:rPr>
                      <w:rFonts w:ascii="仿宋_GB2312" w:hAnsi="仿宋_GB2312" w:cs="仿宋_GB2312" w:eastAsia="仿宋_GB2312"/>
                      <w:sz w:val="24"/>
                    </w:rPr>
                    <w:t>3、含净化设备、管道、控制系统 ；</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2"/>
              <w:gridCol w:w="1222"/>
              <w:gridCol w:w="158"/>
              <w:gridCol w:w="158"/>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除尘设备</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1、布袋除尘器</w:t>
                  </w:r>
                </w:p>
                <w:p>
                  <w:pPr>
                    <w:pStyle w:val="null3"/>
                    <w:jc w:val="left"/>
                  </w:pPr>
                  <w:r>
                    <w:rPr>
                      <w:rFonts w:ascii="仿宋_GB2312" w:hAnsi="仿宋_GB2312" w:cs="仿宋_GB2312" w:eastAsia="仿宋_GB2312"/>
                      <w:sz w:val="24"/>
                    </w:rPr>
                    <w:t>2、处理风量：</w:t>
                  </w:r>
                  <w:r>
                    <w:rPr>
                      <w:rFonts w:ascii="仿宋_GB2312" w:hAnsi="仿宋_GB2312" w:cs="仿宋_GB2312" w:eastAsia="仿宋_GB2312"/>
                      <w:sz w:val="24"/>
                    </w:rPr>
                    <w:t>≥</w:t>
                  </w:r>
                  <w:r>
                    <w:rPr>
                      <w:rFonts w:ascii="仿宋_GB2312" w:hAnsi="仿宋_GB2312" w:cs="仿宋_GB2312" w:eastAsia="仿宋_GB2312"/>
                      <w:sz w:val="24"/>
                    </w:rPr>
                    <w:t>7000m³/h；</w:t>
                  </w:r>
                </w:p>
                <w:p>
                  <w:pPr>
                    <w:pStyle w:val="null3"/>
                    <w:jc w:val="left"/>
                  </w:pPr>
                  <w:r>
                    <w:rPr>
                      <w:rFonts w:ascii="仿宋_GB2312" w:hAnsi="仿宋_GB2312" w:cs="仿宋_GB2312" w:eastAsia="仿宋_GB2312"/>
                      <w:sz w:val="24"/>
                    </w:rPr>
                    <w:t>3、含布袋除尘器、管道、控制系统；</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40日历天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本项日在签订合同之后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设备全部供货完成，安装调试到位后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经采购人验收合格后，投入正常使用，无争议问题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投标函 政府采购供应商拒绝政府采购领域商业贿赂承诺书.pdf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供应商需按要求上传《供应商信用记录书面声明函》，并进行电子签章。</w:t>
            </w:r>
          </w:p>
        </w:tc>
        <w:tc>
          <w:tcPr>
            <w:tcW w:type="dxa" w:w="1661"/>
          </w:tcPr>
          <w:p>
            <w:pPr>
              <w:pStyle w:val="null3"/>
            </w:pPr>
            <w:r>
              <w:rPr>
                <w:rFonts w:ascii="仿宋_GB2312" w:hAnsi="仿宋_GB2312" w:cs="仿宋_GB2312" w:eastAsia="仿宋_GB2312"/>
              </w:rPr>
              <w:t>供应商信用记录声明函.pdf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参加政府采购活动前三年内在经营活动中无重大违法记录的书面声明。供应商需在项目电子化交易系统中按要求上传《无重大违法记录书面声明》，并进行电子签章。</w:t>
            </w:r>
          </w:p>
        </w:tc>
        <w:tc>
          <w:tcPr>
            <w:tcW w:type="dxa" w:w="1661"/>
          </w:tcPr>
          <w:p>
            <w:pPr>
              <w:pStyle w:val="null3"/>
            </w:pPr>
            <w:r>
              <w:rPr>
                <w:rFonts w:ascii="仿宋_GB2312" w:hAnsi="仿宋_GB2312" w:cs="仿宋_GB2312" w:eastAsia="仿宋_GB2312"/>
              </w:rPr>
              <w:t>供应商无重大违法记录书面声明函.pdf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书面声明函.pdf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无控股、管理投标声明</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书面声明函.pdf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工信部查询截图</w:t>
            </w:r>
          </w:p>
        </w:tc>
        <w:tc>
          <w:tcPr>
            <w:tcW w:type="dxa" w:w="3322"/>
          </w:tcPr>
          <w:p>
            <w:pPr>
              <w:pStyle w:val="null3"/>
            </w:pPr>
            <w:r>
              <w:rPr>
                <w:rFonts w:ascii="仿宋_GB2312" w:hAnsi="仿宋_GB2312" w:cs="仿宋_GB2312" w:eastAsia="仿宋_GB2312"/>
              </w:rPr>
              <w:t>挂牌车辆需在工信部网站可查询并附相关查询截图。</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法定代表人身份证明、法定代表人授权委托书.pdf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技术参数响应表.pdf 商务应答表.pdf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（3）报价货币符合招标文件要求； （4）未超出招标文件规定的最高投标限价。</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技术参数中标注“▲”的为重要技术参数，根据供应商提供的产品配置及技术性能指标的响应情况进行评审。 供应商所投产品的配置、功能完全满足招标文件或正偏离的得15 分。标注“▲”的重要技术参数存在负偏离的每一条扣1分；一般技术参数存在负偏离的每一条扣0.5分。注：标注“▲”的重要技术参数均须有相应的技术文件说明并标记具体的技术参数，如无相应证明或评标委员会认为不能证明其是否响应该项的采购需求的，视为负偏离（证明材料不限于产品截图、彩页、产品说明书、官网截图、图纸、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技术参数响应表.pdf</w:t>
            </w:r>
          </w:p>
          <w:p>
            <w:pPr>
              <w:pStyle w:val="null3"/>
            </w:pPr>
            <w:r>
              <w:rPr>
                <w:rFonts w:ascii="仿宋_GB2312" w:hAnsi="仿宋_GB2312" w:cs="仿宋_GB2312" w:eastAsia="仿宋_GB2312"/>
              </w:rPr>
              <w:t>投标人认为需要提供的其他资料.pdf</w:t>
            </w:r>
          </w:p>
          <w:p>
            <w:pPr>
              <w:pStyle w:val="null3"/>
            </w:pPr>
            <w:r>
              <w:rPr>
                <w:rFonts w:ascii="仿宋_GB2312" w:hAnsi="仿宋_GB2312" w:cs="仿宋_GB2312" w:eastAsia="仿宋_GB2312"/>
              </w:rPr>
              <w:t>分项报价表.pdf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承诺内容包含但不限于项目质量管理的措施、质量目标情况等内容。项目质量管理的措施及目标描述严谨、完整合理、切实可行得[4～6]分；项目质量管理的措施及目标描述清晰但不够完整，具有一定的合理性得[2～4)分；项目质量管理的措施及目标描述清晰、不够完整、严谨度欠缺，合理性一般得[0.1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质量保证.pdf</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1.售后服务机构健全，根据售后响应时间，质保期限，售后服务方案科学合理、切实可行，提供具体可行的售后服务措施承诺。按其响应程度计0～4分。 2.负责为采购人培训操作维护人员，并有完整的培训方案，列出详细的培训内容、培训方式等说明。按其响应程度计0～4分。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提供2022年9月1日以来类似项目业绩证明文件，每提供一份计2分，最高计4分。 备注：提供有甲乙双方公章的合同扫描件并加盖投标供应商公章，时间以签订时间为准。.缺项视为无效业绩。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1、投标方案描述详细，符合国家规范，满足招标文件要求，按其响应程度计0～5分。 2、供应设备渠道正规并提供相关证明材料。按其响应程度计0～5分。 3、项目理解。根据供应商针对本项目的理解情况进行评分，主要包括①工作背景②形势分析③总体思路等，且为专门针对本项目、符合本项目实际需求的得6分。每缺少一项内容或内容明显错误或内容非专门针对本项目或内容不能满足本项目实际需求的，每有一项扣2分，扣完为止，未提及此项不得分。 4、供货进度。针对本项目制定的进度计划情况进行评分，主要包括①总体进度阐述②进度计划安排③进度保障措施等，且为专门针对本项目、符合本项目实际需求的得6分。每缺少一项内容或内容明显错误或内容非专门针对本项目或内容不能满足本项目实际需求的，每有一项扣2分，扣完为止，未提及此项不得分。 5、提供有利于采购人降低后期运维成本的建议措施及针对突发情况应急措施等。按其响应程度计0～5分。 6、提供应急保障措施，对于各类突发事件具有应急响应方案：措施及方案全面、针对性强、可实施性强得[2.1～5]分；措施及方案较全面、有一定针对性、基本合理可行得[1.1～2)分；措施及方案较简单、针对性一般得[0.1～1)分；未提供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报价明细表.pdf</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分项报价表.pdf</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详见附件：法定代表人身份证明、法定代表人授权委托书.pdf</w:t>
      </w:r>
    </w:p>
    <w:p>
      <w:pPr>
        <w:pStyle w:val="null3"/>
        <w:ind w:firstLine="960"/>
      </w:pPr>
      <w:r>
        <w:rPr>
          <w:rFonts w:ascii="仿宋_GB2312" w:hAnsi="仿宋_GB2312" w:cs="仿宋_GB2312" w:eastAsia="仿宋_GB2312"/>
        </w:rPr>
        <w:t>详见附件：非联合体投标声明.pdf</w:t>
      </w:r>
    </w:p>
    <w:p>
      <w:pPr>
        <w:pStyle w:val="null3"/>
        <w:ind w:firstLine="960"/>
      </w:pPr>
      <w:r>
        <w:rPr>
          <w:rFonts w:ascii="仿宋_GB2312" w:hAnsi="仿宋_GB2312" w:cs="仿宋_GB2312" w:eastAsia="仿宋_GB2312"/>
        </w:rPr>
        <w:t>详见附件：供应商无重大违法记录书面声明函.pdf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详见附件：售后服务及培训.pdf</w:t>
      </w:r>
    </w:p>
    <w:p>
      <w:pPr>
        <w:pStyle w:val="null3"/>
        <w:ind w:firstLine="960"/>
      </w:pPr>
      <w:r>
        <w:rPr>
          <w:rFonts w:ascii="仿宋_GB2312" w:hAnsi="仿宋_GB2312" w:cs="仿宋_GB2312" w:eastAsia="仿宋_GB2312"/>
        </w:rPr>
        <w:t>详见附件：书面声明函.pdf</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详见附件：供应商信用记录声明函.pdf</w:t>
      </w:r>
    </w:p>
    <w:p>
      <w:pPr>
        <w:pStyle w:val="null3"/>
        <w:ind w:firstLine="960"/>
      </w:pPr>
      <w:r>
        <w:rPr>
          <w:rFonts w:ascii="仿宋_GB2312" w:hAnsi="仿宋_GB2312" w:cs="仿宋_GB2312" w:eastAsia="仿宋_GB2312"/>
        </w:rPr>
        <w:t>详见附件：质量保证.pdf</w:t>
      </w:r>
    </w:p>
    <w:p>
      <w:pPr>
        <w:pStyle w:val="null3"/>
        <w:ind w:firstLine="960"/>
      </w:pPr>
      <w:r>
        <w:rPr>
          <w:rFonts w:ascii="仿宋_GB2312" w:hAnsi="仿宋_GB2312" w:cs="仿宋_GB2312" w:eastAsia="仿宋_GB2312"/>
        </w:rPr>
        <w:t>详见附件：技术参数响应表.pdf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