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版本号：ZCSP-临渭区-2025-0023920251010001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残疾人职业技能和实用技术培训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ZCSP-临渭区-2025-00239</w:t>
      </w:r>
      <w:r>
        <w:br/>
      </w:r>
      <w:r>
        <w:br/>
      </w:r>
      <w:r>
        <w:br/>
      </w:r>
    </w:p>
    <w:p>
      <w:pPr>
        <w:pStyle w:val="null3"/>
        <w:jc w:val="center"/>
        <w:outlineLvl w:val="2"/>
      </w:pPr>
      <w:r>
        <w:rPr>
          <w:rFonts w:ascii="仿宋_GB2312" w:hAnsi="仿宋_GB2312" w:cs="仿宋_GB2312" w:eastAsia="仿宋_GB2312"/>
          <w:sz w:val="28"/>
          <w:b/>
        </w:rPr>
        <w:t>渭南市临渭区残疾人综合服务中心</w:t>
      </w:r>
    </w:p>
    <w:p>
      <w:pPr>
        <w:pStyle w:val="null3"/>
        <w:jc w:val="center"/>
        <w:outlineLvl w:val="2"/>
      </w:pPr>
      <w:r>
        <w:rPr>
          <w:rFonts w:ascii="仿宋_GB2312" w:hAnsi="仿宋_GB2312" w:cs="仿宋_GB2312" w:eastAsia="仿宋_GB2312"/>
          <w:sz w:val="28"/>
          <w:b/>
        </w:rPr>
        <w:t>陕西佳禾泽阳项目咨询有限公司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陕西佳禾泽阳项目咨询有限公司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渭南市临渭区残疾人综合服务中心</w:t>
      </w:r>
      <w:r>
        <w:rPr>
          <w:rFonts w:ascii="仿宋_GB2312" w:hAnsi="仿宋_GB2312" w:cs="仿宋_GB2312" w:eastAsia="仿宋_GB2312"/>
        </w:rPr>
        <w:t>委托，拟对</w:t>
      </w:r>
      <w:r>
        <w:rPr>
          <w:rFonts w:ascii="仿宋_GB2312" w:hAnsi="仿宋_GB2312" w:cs="仿宋_GB2312" w:eastAsia="仿宋_GB2312"/>
        </w:rPr>
        <w:t>残疾人职业技能和实用技术培训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残疾人职业技能和实用技术培训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培训按照残疾人的个性化需求，为我区550名困难残疾人分类开展技能培训，通过项目实施，让接受培训的残疾人掌握1-2门就业技能，提升技能水平，增强就业创业能力，实现较为稳定的就业和创业，残疾人家庭得到增产增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提供被授权人近三个月在本公司的社会保障资金缴纳证明；</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信用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9、磋商保证金交纳凭证：磋商保证金转账凭证或担保机构出具的保函；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提供被授权人近三个月在本公司的社会保障资金缴纳证明；</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信用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9、磋商保证金交纳凭证：磋商保证金转账凭证或担保机构出具的保函；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渭南市临渭区残疾人综合服务中心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渭南市临渭区乐天大街招二路北段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13571335633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陕西佳禾泽阳项目咨询有限公司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陕西省渭南市临渭区陕西省渭南市临渭区六泉路与玉德路十字上上国风三期九号院6号楼1单元1403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13279323603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p>
          <w:p>
            <w:pPr>
              <w:pStyle w:val="null3"/>
            </w:pPr>
            <w:r>
              <w:rPr>
                <w:rFonts w:ascii="仿宋_GB2312" w:hAnsi="仿宋_GB2312" w:cs="仿宋_GB2312" w:eastAsia="仿宋_GB2312"/>
              </w:rPr>
              <w:t>采购包2：450,000.00元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采购包1保证金金额：7,500.00元</w:t>
            </w:r>
          </w:p>
          <w:p>
            <w:pPr>
              <w:pStyle w:val="null3"/>
            </w:pPr>
            <w:r>
              <w:rPr>
                <w:rFonts w:ascii="仿宋_GB2312" w:hAnsi="仿宋_GB2312" w:cs="仿宋_GB2312" w:eastAsia="仿宋_GB2312"/>
              </w:rPr>
              <w:t>采购包2保证金金额：9,000.00元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开户名称：陕西佳禾泽阳项目咨询有限公司</w:t>
            </w:r>
          </w:p>
          <w:p>
            <w:pPr>
              <w:pStyle w:val="null3"/>
            </w:pPr>
            <w:r>
              <w:rPr>
                <w:rFonts w:ascii="仿宋_GB2312" w:hAnsi="仿宋_GB2312" w:cs="仿宋_GB2312" w:eastAsia="仿宋_GB2312"/>
              </w:rPr>
              <w:t>开户银行：中国邮政储蓄银行股份有限公司渭南市分行</w:t>
            </w:r>
          </w:p>
          <w:p>
            <w:pPr>
              <w:pStyle w:val="null3"/>
            </w:pPr>
            <w:r>
              <w:rPr>
                <w:rFonts w:ascii="仿宋_GB2312" w:hAnsi="仿宋_GB2312" w:cs="仿宋_GB2312" w:eastAsia="仿宋_GB2312"/>
              </w:rPr>
              <w:t>银行账号：961003010033566681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计划委员会文件（发改办价格[2003]857号）国家发展改革委办公厅关于招标代理服务收费有关问题的通知”的标准收取。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渭南市临渭区残疾人综合服务中心</w:t>
      </w:r>
      <w:r>
        <w:rPr>
          <w:rFonts w:ascii="仿宋_GB2312" w:hAnsi="仿宋_GB2312" w:cs="仿宋_GB2312" w:eastAsia="仿宋_GB2312"/>
        </w:rPr>
        <w:t>和</w:t>
      </w:r>
      <w:r>
        <w:rPr>
          <w:rFonts w:ascii="仿宋_GB2312" w:hAnsi="仿宋_GB2312" w:cs="仿宋_GB2312" w:eastAsia="仿宋_GB2312"/>
        </w:rPr>
        <w:t>陕西佳禾泽阳项目咨询有限公司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渭南市临渭区残疾人综合服务中心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陕西佳禾泽阳项目咨询有限公司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渭南市临渭区残疾人综合服务中心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陕西佳禾泽阳项目咨询有限公司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陕西佳禾泽阳项目咨询有限公司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联系人：杨艳</w:t>
      </w:r>
    </w:p>
    <w:p>
      <w:pPr>
        <w:pStyle w:val="null3"/>
      </w:pPr>
      <w:r>
        <w:rPr>
          <w:rFonts w:ascii="仿宋_GB2312" w:hAnsi="仿宋_GB2312" w:cs="仿宋_GB2312" w:eastAsia="仿宋_GB2312"/>
        </w:rPr>
        <w:t>联系电话：13279323603</w:t>
      </w:r>
    </w:p>
    <w:p>
      <w:pPr>
        <w:pStyle w:val="null3"/>
      </w:pPr>
      <w:r>
        <w:rPr>
          <w:rFonts w:ascii="仿宋_GB2312" w:hAnsi="仿宋_GB2312" w:cs="仿宋_GB2312" w:eastAsia="仿宋_GB2312"/>
        </w:rPr>
        <w:t>地址：陕西省渭南市临渭区六泉路与玉德路十字上上国风三期九号院6号楼1单元1403</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培训按照政府购买服务的有关规定执行，人均1500元。对象须为临渭区户籍就业年龄段持证残疾人，具有劳动能力、就业意愿及参训条件者。符合户籍和年龄条件的智力、精神及重度肢体残疾人家庭一名直系亲属可纳入；主要功能或目标:帮助残疾人掌握1门以上职业技能或实用技术，提高就业技能，促进就业创业。接受培训残疾人合格率达80%以上；需满足的要求:培训机构要具备合法的办学资质、丰富的培训经验和专业的残疾人培训师资力量，并能够根据残疾人的实际情况制定个性化的教学计划，确保培训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第一包技能培训250名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第二包技能培训300名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标的名称：第一包技能培训250名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采购内容</w:t>
            </w:r>
            <w:r>
              <w:rPr>
                <w:rFonts w:ascii="仿宋_GB2312" w:hAnsi="仿宋_GB2312" w:cs="仿宋_GB2312" w:eastAsia="仿宋_GB2312"/>
              </w:rPr>
              <w:t>:残疾人职业培训是指对有培训需求的残疾人以培养和提高素质及职业能力为目的的教育和训练活动，主要包括就业技能培训、岗位技能提升培训、创业创新培训、农村实用技术培训和专项技能培训等;主要功能或目标:帮助残疾人掌握1门以上职业技能或实用技术，提高就业技能，促进就业创业。接受培训残疾人合格率达80%以上；需满足的要求：培训机构要具备合法的办学资质、丰富的培训经验和专业的残疾人培训师资力量，并能够根据残疾人的实际情况制定个性化的教学计划，确保培训效果。</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（一）培训对象</w:t>
            </w:r>
            <w:r>
              <w:rPr>
                <w:rFonts w:ascii="仿宋_GB2312" w:hAnsi="仿宋_GB2312" w:cs="仿宋_GB2312" w:eastAsia="仿宋_GB2312"/>
              </w:rPr>
              <w:t>1）具有临渭区户籍并持有《中华人民共和国残疾人证》； 2）处于就业年龄段； 3）有劳动能力和就业意愿； 4）具备接受培训的条件和能力。 具备条件1和2的智力、精神及重度肢体残疾人家庭一名直系亲属亦可作为实施对象。 （二）服务内容 本次培训按照残疾人的个性化需求，为我区550名困难残疾人分类开展技能培训，通过项目实施，让接受培训的残疾人掌握1-2门就业技能，提升技能水平，增强就业创业能力，实现较为稳定的就业和创业，残疾人家庭得到增产增收。 本次培训分3-4期，每期不少于7天，每天按8课时，一期不少于56课时，培训内容主要包括职业技能和实用技术培训。 实用技术培训包括“种、养、加”等培训项目，职业技能培训包括计算机应用、电子商务、残疾妇女手工制作等项目。</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1、制定培训项目实施方案。 实施方案应当根据培训计划制定，主要包括培训目标、时间、地点、人数、方式，培训对象、课程设置、师资安排、报名方式、考试考核、应急预案、生活管理安排(住宿班)等内容。 不同培训项目不得混合开班。课程内容应当符合残疾人特点，突出专业理论知识和实操技能训练。实操技能训练学时一般不少于总学时的50%。职业素质培训学时应当不少于总课时的10%,包括法律法规、职业道德、工作纪律、劳动保障、工匠精神、务工常识等内容。培训时长根据培训对象的残疾类别、残疾程度、学历状况、接受能力和培训项目要求合理设定。 2、发布招生通知，组织符合条件的残疾人报名。 3、提出开班申请，经批准后按时开班。开班申请应于培训班开班前不少于5个工作日前提出。申请材料应当包括培训实施方案、学员登记表、课程表等。 4、组织开展授课、答疑、讨论、实操等教学活动。培训班应当至少配备一名班主任、一名生活管理员(住宿班)和必要的教辅人员。应当制发学员手册，提供服务指南，明确班级管理制度、课程安排、作息时间、班级规章等，严肃学习和考勤纪律，保证安全有序。 5、组织培训考核。培训考核应当提供合理便利，包括理论和实操两个部分。培训项目列入职业资格考试、结业考核、专项职业能力考核范围的，按相关规定和标准执行；未列入的，由培训机构制定考核方案、命制试题，报培训主办方同意后实施。难以组织理论考试的，重点考核实操技能，由授课老师形成考核报告提交培训主办方。 6、申请结项。结项申请应当于培训班结束后10个工作日内按要求提交全国残疾人职业培训管理服务系统。</w:t>
            </w:r>
          </w:p>
          <w:p>
            <w:pPr>
              <w:pStyle w:val="null3"/>
            </w:pPr>
            <w:r>
              <w:rPr>
                <w:rFonts w:ascii="仿宋_GB2312" w:hAnsi="仿宋_GB2312" w:cs="仿宋_GB2312" w:eastAsia="仿宋_GB2312"/>
              </w:rPr>
              <w:t>四、商务要求（如服务期限、款项结算等）</w:t>
            </w:r>
          </w:p>
          <w:p>
            <w:pPr>
              <w:pStyle w:val="null3"/>
            </w:pPr>
            <w:r>
              <w:rPr>
                <w:rFonts w:ascii="仿宋_GB2312" w:hAnsi="仿宋_GB2312" w:cs="仿宋_GB2312" w:eastAsia="仿宋_GB2312"/>
              </w:rPr>
              <w:t>（一）服务期限  服务期：自合同签订之日起60日历天。 （二）款项结算 1.付款方式：合同签订后预付供应商合同金额的40%,项目实施结束后，供应商向采购人提出书面验收报告，采购人在30个工作日内对供应商项目实施情况进行绩效评估验收，评估验收合格后，供应商向采购人出具全额发票，采购人向供应商拨付资金。 乙方向甲方开具正式发票。 2、支付方式：银行转账。 3、服务地点：采购人指定地点。</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(一)在服务范围内按工作内容和要求制定详细的方案，方案科学、合理、可靠。 (二)人员配备合理。有针对本项目的专项服务小组，项目负责人、工作人员分工明确(应有具体成员名单，包括姓名、工作职责等) (三)有各类突发事件的应急预案和措施，有明确具体的承诺。 (四)供应商所拟派的工作人员，若在服务期间发生任何伤害，采购人概不负责，由供应商自行处理。</w:t>
            </w:r>
          </w:p>
          <w:p>
            <w:pPr>
              <w:pStyle w:val="null3"/>
              <w:jc w:val="both"/>
            </w:pPr>
            <w:r>
              <w:rPr>
                <w:rFonts w:ascii="仿宋_GB2312" w:hAnsi="仿宋_GB2312" w:cs="仿宋_GB2312" w:eastAsia="仿宋_GB2312"/>
              </w:rPr>
              <w:t>六、验收标准</w:t>
            </w:r>
          </w:p>
          <w:p>
            <w:pPr>
              <w:pStyle w:val="null3"/>
              <w:jc w:val="both"/>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标的名称：第二包技能培训300名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采购内容</w:t>
            </w:r>
            <w:r>
              <w:rPr>
                <w:rFonts w:ascii="仿宋_GB2312" w:hAnsi="仿宋_GB2312" w:cs="仿宋_GB2312" w:eastAsia="仿宋_GB2312"/>
              </w:rPr>
              <w:t>:残疾人职业培训是指对有培训需求的残疾人以培养和提高素质及职业能力为目的的教育和训练活动，主要包括就业技能培训、岗位技能提升培训、创业创新培训、农村实用技术培训和专项技能培训等;主要功能或目标:帮助残疾人掌握1门以上职业技能或实用技术，提高就业技能，促进就业创业。接受培训残疾人合格率达80%以上；需满足的要求：培训机构要具备合法的办学资质、丰富的培训经验和专业的残疾人培训师资力量，并能够根据残疾人的实际情况制定个性化的教学计划，确保培训效果。</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（一）培训对象</w:t>
            </w:r>
            <w:r>
              <w:rPr>
                <w:rFonts w:ascii="仿宋_GB2312" w:hAnsi="仿宋_GB2312" w:cs="仿宋_GB2312" w:eastAsia="仿宋_GB2312"/>
              </w:rPr>
              <w:t>1）具有临渭区户籍并持有《中华人民共和国残疾人证》； 2）处于就业年龄段； 3）有劳动能力和就业意愿； 4）具备接受培训的条件和能力。 具备条件1和2的智力、精神及重度肢体残疾人家庭一名直系亲属亦可作为实施对象。 （二）服务内容 本次培训按照残疾人的个性化需求，为我区550名困难残疾人分类开展技能培训，通过项目实施，让接受培训的残疾人掌握1-2门就业技能，提升技能水平，增强就业创业能力，实现较为稳定的就业和创业，残疾人家庭得到增产增收。 本次培训分3-4期，每期不少于7天，每天按8课时，一期不少于56课时，培训内容主要包括职业技能和实用技术培训。 实用技术培训包括“种、养、加”等培训项目，职业技能培训包括计算机应用、电子商务、残疾妇女手工制作等项目。</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1、制定培训项目实施方案。 实施方案应当根据培训计划制定，主要包括培训目标、时间、地点、人数、方式，培训对象、课程设置、师资安排、报名方式、考试考核、应急预案、生活管理安排(住宿班)等内容。 不同培训项目不得混合开班。课程内容应当符合残疾人特点，突出专业理论知识和实操技能训练。实操技能训练学时一般不少于总学时的50%。职业素质培训学时应当不少于总课时的10%,包括法律法规、职业道德、工作纪律、劳动保障、工匠精神、务工常识等内容。培训时长根据培训对象的残疾类别、残疾程度、学历状况、接受能力和培训项目要求合理设定。 2、发布招生通知，组织符合条件的残疾人报名。 3、提出开班申请，经批准后按时开班。开班申请应于培训班开班前不少于5个工作日前提出。申请材料应当包括培训实施方案、学员登记表、课程表等。 4、组织开展授课、答疑、讨论、实操等教学活动。培训班应当至少配备一名班主任、一名生活管理员(住宿班)和必要的教辅人员。应当制发学员手册，提供服务指南，明确班级管理制度、课程安排、作息时间、班级规章等，严肃学习和考勤纪律，保证安全有序。 5、组织培训考核。培训考核应当提供合理便利，包括理论和实操两个部分。培训项目列入职业资格考试、结业考核、专项职业能力考核范围的，按相关规定和标准执行；未列入的，由培训机构制定考核方案、命制试题，报培训主办方同意后实施。难以组织理论考试的，重点考核实操技能，由授课老师形成考核报告提交培训主办方。 6、申请结项。结项申请应当于培训班结束后10个工作日内按要求提交全国残疾人职业培训管理服务系统。</w:t>
            </w:r>
          </w:p>
          <w:p>
            <w:pPr>
              <w:pStyle w:val="null3"/>
            </w:pPr>
            <w:r>
              <w:rPr>
                <w:rFonts w:ascii="仿宋_GB2312" w:hAnsi="仿宋_GB2312" w:cs="仿宋_GB2312" w:eastAsia="仿宋_GB2312"/>
              </w:rPr>
              <w:t>四、商务要求（如服务期限、款项结算等）</w:t>
            </w:r>
          </w:p>
          <w:p>
            <w:pPr>
              <w:pStyle w:val="null3"/>
            </w:pPr>
            <w:r>
              <w:rPr>
                <w:rFonts w:ascii="仿宋_GB2312" w:hAnsi="仿宋_GB2312" w:cs="仿宋_GB2312" w:eastAsia="仿宋_GB2312"/>
              </w:rPr>
              <w:t>（一）服务期限  服务期：自合同签订之日起60日历天。 （二）款项结算 1.付款方式：合同签订后预付供应商合同金额的40%,项目实施结束后，供应商向采购人提出书面验收报告，采购人在30个工作日内对供应商项目实施情况进行绩效评估验收，评估验收合格后，供应商向采购人出具全额发票，采购人向供应商拨付资金。 乙方向甲方开具正式发票。 2、支付方式：银行转账。 3、服务地点：采购人指定地点。</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(一)在服务范围内按工作内容和要求制定详细的方案，方案科学、合理、可靠。 (二)人员配备合理。有针对本项目的专项服务小组，项目负责人、工作人员分工明确(应有具体成员名单，包括姓名、工作职责等) (三)有各类突发事件的应急预案和措施，有明确具体的承诺。 (四)供应商所拟派的工作人员，若在服务期间发生任何伤害，采购人概不负责，由供应商自行处理。</w:t>
            </w:r>
          </w:p>
          <w:p>
            <w:pPr>
              <w:pStyle w:val="null3"/>
              <w:jc w:val="both"/>
            </w:pPr>
            <w:r>
              <w:rPr>
                <w:rFonts w:ascii="仿宋_GB2312" w:hAnsi="仿宋_GB2312" w:cs="仿宋_GB2312" w:eastAsia="仿宋_GB2312"/>
              </w:rPr>
              <w:t>六、验收标准</w:t>
            </w:r>
          </w:p>
          <w:p>
            <w:pPr>
              <w:pStyle w:val="null3"/>
              <w:jc w:val="both"/>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1、质量标准：达到渭南市残疾人职业技能和实用技术培训实施细则所制定的培训工种相适应的职业标准。 2、验收标准：按磋商文件、磋商响应文件及澄清函、项目检查情况等综合指标进行验收。各项指标均应符合验收标准及要求。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合同签订后预付供应商合同金额的40%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项目实施结束后，供应商向采购人提出书面验收报告，采购人在30个工作日内对供应商项目实施情况进行绩效评估验收，评估验收合格后，供应商向采购人出具全额发票，采购人向供应商拨付资金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合同签订后预付供应商合同金额的40%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项目实施结束后，供应商向采购人提出书面验收报告，采购人在30个工作日内对供应商项目实施情况进行绩效评估验收，评估验收合格后，供应商向采购人出具全额发票，采购人向供应商拨付资金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提供被授权人近三个月在本公司的社会保障资金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磋商保证金转账凭证或担保机构出具的保函；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提供被授权人近三个月在本公司的社会保障资金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磋商保证金转账凭证或担保机构出具的保函；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供应商基本信息.docx 中小企业声明函 报价表 供应商承诺书.docx 响应文件封面 供应商应提交的相关资格证明材料.docx 商务响应偏离表.docx 残疾人福利性单位声明函 服务响应偏离表.docx 标的清单 供应商业绩.docx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供应商基本信息.docx 中小企业声明函 报价表 供应商承诺书.docx 响应文件封面 供应商应提交的相关资格证明材料.docx 商务响应偏离表.docx 残疾人福利性单位声明函 服务响应偏离表.docx 标的清单 供应商业绩.docx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供应商基本信息.docx 中小企业声明函 报价表 供应商承诺书.docx 响应文件封面 供应商应提交的相关资格证明材料.docx 商务响应偏离表.docx 残疾人福利性单位声明函 服务响应偏离表.docx 标的清单 供应商业绩.docx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供应商基本信息.docx 中小企业声明函 报价表 供应商承诺书.docx 响应文件封面 供应商应提交的相关资格证明材料.docx 商务响应偏离表.docx 残疾人福利性单位声明函 服务响应偏离表.docx 标的清单 供应商业绩.docx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培训实施方案</w:t>
            </w:r>
          </w:p>
        </w:tc>
        <w:tc>
          <w:tcPr>
            <w:tcW w:type="dxa" w:w="2492"/>
          </w:tcPr>
          <w:p>
            <w:pPr>
              <w:pStyle w:val="null3"/>
            </w:pPr>
            <w:r>
              <w:rPr>
                <w:rFonts w:ascii="仿宋_GB2312" w:hAnsi="仿宋_GB2312" w:cs="仿宋_GB2312" w:eastAsia="仿宋_GB2312"/>
              </w:rPr>
              <w:t>供应商在响应文件中编制的实施方案：方案合理、内容全面、可行性高的得（10-15]分；方案较合理、内容较全面、可行性较高的得（5-10]分；方案一般、可行性一般的得（0-5]分。注：本项未提供不得分。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供应商针对本项目制定内部管理机制：管理体系完善、管理内容全面、培训服务宗旨和管理条例明确的得（7-10]分；管理体系较完善、管理内容较全面、培训服务宗旨和管理条例较明确的得（4-7]分；管理体系、管理内、培训服务宗旨和管理条例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培训师资力量</w:t>
            </w:r>
          </w:p>
        </w:tc>
        <w:tc>
          <w:tcPr>
            <w:tcW w:type="dxa" w:w="2492"/>
          </w:tcPr>
          <w:p>
            <w:pPr>
              <w:pStyle w:val="null3"/>
            </w:pPr>
            <w:r>
              <w:rPr>
                <w:rFonts w:ascii="仿宋_GB2312" w:hAnsi="仿宋_GB2312" w:cs="仿宋_GB2312" w:eastAsia="仿宋_GB2312"/>
              </w:rPr>
              <w:t>供应商针对本项目投入的师资力量：师资力量雄厚、授课教师经验丰富、职称及资格证书齐全的得（7-10]分；师资力量较雄厚、授课教师经验较丰富、职称及资格证书较齐全的得（4-7]分；师资力量一般、授课教师经验一般、职称及资格证书齐全性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培训硬件设施</w:t>
            </w:r>
          </w:p>
        </w:tc>
        <w:tc>
          <w:tcPr>
            <w:tcW w:type="dxa" w:w="2492"/>
          </w:tcPr>
          <w:p>
            <w:pPr>
              <w:pStyle w:val="null3"/>
            </w:pPr>
            <w:r>
              <w:rPr>
                <w:rFonts w:ascii="仿宋_GB2312" w:hAnsi="仿宋_GB2312" w:cs="仿宋_GB2312" w:eastAsia="仿宋_GB2312"/>
              </w:rPr>
              <w:t>供应商针对本项目具备满足培训量及培训工种的各类教学设备、场所、无障碍设备等设施：内容完整、全面、详细的得（4-5]分，内容较完整、较全面、较详细的得（3-4]分，内容一般的得（0-3]分。注：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培训质量保证措施</w:t>
            </w:r>
          </w:p>
        </w:tc>
        <w:tc>
          <w:tcPr>
            <w:tcW w:type="dxa" w:w="2492"/>
          </w:tcPr>
          <w:p>
            <w:pPr>
              <w:pStyle w:val="null3"/>
            </w:pPr>
            <w:r>
              <w:rPr>
                <w:rFonts w:ascii="仿宋_GB2312" w:hAnsi="仿宋_GB2312" w:cs="仿宋_GB2312" w:eastAsia="仿宋_GB2312"/>
              </w:rPr>
              <w:t>供应商有针对本项目的质量承诺、质量保证措施：质量承诺、质量保证措施合理的得（7-10]分；质量承诺、质量保证措施较合理的得（4-7]分；质量承诺、质量保证措施一般的得（0-4]分。注：本项未提供不得分。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安全与应急保证措施</w:t>
            </w:r>
          </w:p>
        </w:tc>
        <w:tc>
          <w:tcPr>
            <w:tcW w:type="dxa" w:w="2492"/>
          </w:tcPr>
          <w:p>
            <w:pPr>
              <w:pStyle w:val="null3"/>
            </w:pPr>
            <w:r>
              <w:rPr>
                <w:rFonts w:ascii="仿宋_GB2312" w:hAnsi="仿宋_GB2312" w:cs="仿宋_GB2312" w:eastAsia="仿宋_GB2312"/>
              </w:rPr>
              <w:t>供应商有针对本项目的安全与应急保障措施：保障措施合理性、可行性强得（7-10]分；合理性、可行性较强得（4-7]分，合理性、可行性一般得（0-4]分。注：本项未提供不得分。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供应商针对本项目提出服务承诺及措施：服务承诺及措施可行性、合理性强的得（4-5]分；服务承诺及措施可行性、合理性较强的得（2-4]分；服务承诺及措施可行性、合理性一般的得（0-2]分；注：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供应商针对本项目的关键性技术问题重点难点分析、应对措施及相关的合理化建议，内容全面、完善、可行的得（4-6]分；内容较全面、较完善、较可行的得（2-4]分；一般的得（0-2]分。注：本项未提供不得分。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供应商提供2022年1月至今的类似业绩，每提供一份得3分，最多得9分，未提供得0分。（以合同签订时间为准）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培训实施方案</w:t>
            </w:r>
          </w:p>
        </w:tc>
        <w:tc>
          <w:tcPr>
            <w:tcW w:type="dxa" w:w="2492"/>
          </w:tcPr>
          <w:p>
            <w:pPr>
              <w:pStyle w:val="null3"/>
            </w:pPr>
            <w:r>
              <w:rPr>
                <w:rFonts w:ascii="仿宋_GB2312" w:hAnsi="仿宋_GB2312" w:cs="仿宋_GB2312" w:eastAsia="仿宋_GB2312"/>
              </w:rPr>
              <w:t>供应商在响应文件中编制的实施方案：方案合理、内容全面、可行性高的得（10-15]分；方案较合理、内容较全面、可行性较高的得（5-10]分；方案一般、可行性一般的得（0-5]分。注：本项未提供不得分。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供应商针对本项目制定内部管理机制：管理体系完善、管理内容全面、培训服务宗旨和管理条例明确的得（7-10]分；管理体系较完善、管理内容较全面、培训服务宗旨和管理条例较明确的得（4-7]分；管理体系、管理内、培训服务宗旨和管理条例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培训师资力量</w:t>
            </w:r>
          </w:p>
        </w:tc>
        <w:tc>
          <w:tcPr>
            <w:tcW w:type="dxa" w:w="2492"/>
          </w:tcPr>
          <w:p>
            <w:pPr>
              <w:pStyle w:val="null3"/>
            </w:pPr>
            <w:r>
              <w:rPr>
                <w:rFonts w:ascii="仿宋_GB2312" w:hAnsi="仿宋_GB2312" w:cs="仿宋_GB2312" w:eastAsia="仿宋_GB2312"/>
              </w:rPr>
              <w:t>供应商针对本项目投入的师资力量：师资力量雄厚、授课教师经验丰富、职称及资格证书齐全的得（7-10]分；师资力量较雄厚、授课教师经验较丰富、职称及资格证书较齐全的得（4-7]分；师资力量一般、授课教师经验一般、职称及资格证书齐全性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培训硬件设施</w:t>
            </w:r>
          </w:p>
        </w:tc>
        <w:tc>
          <w:tcPr>
            <w:tcW w:type="dxa" w:w="2492"/>
          </w:tcPr>
          <w:p>
            <w:pPr>
              <w:pStyle w:val="null3"/>
            </w:pPr>
            <w:r>
              <w:rPr>
                <w:rFonts w:ascii="仿宋_GB2312" w:hAnsi="仿宋_GB2312" w:cs="仿宋_GB2312" w:eastAsia="仿宋_GB2312"/>
              </w:rPr>
              <w:t>供应商针对本项目具备满足培训量及培训工种的各类教学设备、场所、无障碍设备等设施：内容完整、全面、详细的得（4-5]分，内容较完整、较全面、较详细的得（3-4]分，内容一般的得（0-3]分。注：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培训质量保证措施</w:t>
            </w:r>
          </w:p>
        </w:tc>
        <w:tc>
          <w:tcPr>
            <w:tcW w:type="dxa" w:w="2492"/>
          </w:tcPr>
          <w:p>
            <w:pPr>
              <w:pStyle w:val="null3"/>
            </w:pPr>
            <w:r>
              <w:rPr>
                <w:rFonts w:ascii="仿宋_GB2312" w:hAnsi="仿宋_GB2312" w:cs="仿宋_GB2312" w:eastAsia="仿宋_GB2312"/>
              </w:rPr>
              <w:t>供应商有针对本项目的质量承诺、质量保证措施：质量承诺、质量保证措施合理的得（7-10]分；质量承诺、质量保证措施较合理的得（4-7]分；质量承诺、质量保证措施一般的得（0-4]分。注：本项未提供不得分。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安全与应急保证措施</w:t>
            </w:r>
          </w:p>
        </w:tc>
        <w:tc>
          <w:tcPr>
            <w:tcW w:type="dxa" w:w="2492"/>
          </w:tcPr>
          <w:p>
            <w:pPr>
              <w:pStyle w:val="null3"/>
            </w:pPr>
            <w:r>
              <w:rPr>
                <w:rFonts w:ascii="仿宋_GB2312" w:hAnsi="仿宋_GB2312" w:cs="仿宋_GB2312" w:eastAsia="仿宋_GB2312"/>
              </w:rPr>
              <w:t>供应商有针对本项目的安全与应急保障措施：保障措施合理性、可行性强得（7-10]分；合理性、可行性较强得（4-7]分，合理性、可行性一般得（0-4]分。注：本项未提供不得分。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供应商针对本项目提出服务承诺及措施：服务承诺及措施可行性、合理性强的得（4-5]分；服务承诺及措施可行性、合理性较强的得（2-4]分；服务承诺及措施可行性、合理性一般的得（0-2]分；注：本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供应商针对本项目的关键性技术问题重点难点分析、应对措施及相关的合理化建议，内容全面、完善、可行的得（4-6]分；内容较全面、较完善、较可行的得（2-4]分；一般的得（0-2]分。注：本项未提供不得分。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供应商提供2022年1月至今的类似业绩，每提供一份得3分，最多得9分，未提供得0分。（以合同签订时间为准）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