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版本号：SXTW-2025-091920250929001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渭南市临渭区2025年中央财政农业社会化服务项目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SXTW-2025-0919</w:t>
      </w:r>
      <w:r>
        <w:br/>
      </w:r>
      <w:r>
        <w:br/>
      </w:r>
      <w:r>
        <w:br/>
      </w:r>
    </w:p>
    <w:p>
      <w:pPr>
        <w:pStyle w:val="null3"/>
        <w:jc w:val="center"/>
        <w:outlineLvl w:val="2"/>
      </w:pPr>
      <w:r>
        <w:rPr>
          <w:rFonts w:ascii="仿宋_GB2312" w:hAnsi="仿宋_GB2312" w:cs="仿宋_GB2312" w:eastAsia="仿宋_GB2312"/>
          <w:sz w:val="28"/>
          <w:b/>
        </w:rPr>
        <w:t>渭南市临渭区农村合作经济工作站</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渭南市临渭区农村合作经济工作站</w:t>
      </w:r>
      <w:r>
        <w:rPr>
          <w:rFonts w:ascii="仿宋_GB2312" w:hAnsi="仿宋_GB2312" w:cs="仿宋_GB2312" w:eastAsia="仿宋_GB2312"/>
        </w:rPr>
        <w:t>委托，拟对</w:t>
      </w:r>
      <w:r>
        <w:rPr>
          <w:rFonts w:ascii="仿宋_GB2312" w:hAnsi="仿宋_GB2312" w:cs="仿宋_GB2312" w:eastAsia="仿宋_GB2312"/>
        </w:rPr>
        <w:t>渭南市临渭区2025年中央财政农业社会化服务项目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SXTW-2025-0919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渭南市临渭区2025年中央财政农业社会化服务项目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1、营业执照等证明文件：提供统一社会信用代码的营业执照或其他组织经营的合法凭证或自然人的身份证明文件；供应商需在项目电子化交易系统中按要求上传，并进行电子签章。</w:t>
      </w:r>
    </w:p>
    <w:p>
      <w:pPr>
        <w:pStyle w:val="null3"/>
      </w:pPr>
      <w:r>
        <w:rPr>
          <w:rFonts w:ascii="仿宋_GB2312" w:hAnsi="仿宋_GB2312" w:cs="仿宋_GB2312" w:eastAsia="仿宋_GB2312"/>
        </w:rPr>
        <w:t>2、财务状况报告：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5、具有履行合同的声明：提供具有履行本合同所必需的设备和专业技术能力的说明及承诺；供应商需在项目电子化交易系统中按要求上传，并进行电子签章。</w:t>
      </w:r>
    </w:p>
    <w:p>
      <w:pPr>
        <w:pStyle w:val="null3"/>
      </w:pPr>
      <w:r>
        <w:rPr>
          <w:rFonts w:ascii="仿宋_GB2312" w:hAnsi="仿宋_GB2312" w:cs="仿宋_GB2312" w:eastAsia="仿宋_GB2312"/>
        </w:rPr>
        <w:t>6、无重大违法记录书面声明：参加政府采购活动前三年内在经营活动中无重大违法记录的书面声明；供应商需在项目电子化交易系统中按要求上传，并进行电子签章。</w:t>
      </w:r>
    </w:p>
    <w:p>
      <w:pPr>
        <w:pStyle w:val="null3"/>
      </w:pPr>
      <w:r>
        <w:rPr>
          <w:rFonts w:ascii="仿宋_GB2312" w:hAnsi="仿宋_GB2312" w:cs="仿宋_GB2312" w:eastAsia="仿宋_GB2312"/>
        </w:rPr>
        <w:t>7、非联合体投标声明：本项目不接受联合体投标，供应商需在项目电子化交易系统中按要求上传，并进行电子签章。</w:t>
      </w:r>
    </w:p>
    <w:p>
      <w:pPr>
        <w:pStyle w:val="null3"/>
      </w:pPr>
      <w:r>
        <w:rPr>
          <w:rFonts w:ascii="仿宋_GB2312" w:hAnsi="仿宋_GB2312" w:cs="仿宋_GB2312" w:eastAsia="仿宋_GB2312"/>
        </w:rPr>
        <w:t>8、信誉信息：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p>
      <w:pPr>
        <w:pStyle w:val="null3"/>
      </w:pPr>
      <w:r>
        <w:rPr>
          <w:rFonts w:ascii="仿宋_GB2312" w:hAnsi="仿宋_GB2312" w:cs="仿宋_GB2312" w:eastAsia="仿宋_GB2312"/>
        </w:rPr>
        <w:t>9、法定代表人授权书/法定代表人身份证明书：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p>
      <w:pPr>
        <w:pStyle w:val="null3"/>
      </w:pPr>
      <w:r>
        <w:rPr>
          <w:rFonts w:ascii="仿宋_GB2312" w:hAnsi="仿宋_GB2312" w:cs="仿宋_GB2312" w:eastAsia="仿宋_GB2312"/>
        </w:rPr>
        <w:t>10、无控股、管理承诺：单位负责人为同一人或者存在直接控股、管理关系的不同投标人，不得同时参加同一合同项下的政府采购活动；供应商需在项目电子化交易系统中按要求上传，并进行电子签章。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1、营业执照等证明文件：提供统一社会信用代码的营业执照或其他组织经营的合法凭证或自然人的身份证明文件；供应商需在项目电子化交易系统中按要求上传，并进行电子签章。</w:t>
      </w:r>
    </w:p>
    <w:p>
      <w:pPr>
        <w:pStyle w:val="null3"/>
      </w:pPr>
      <w:r>
        <w:rPr>
          <w:rFonts w:ascii="仿宋_GB2312" w:hAnsi="仿宋_GB2312" w:cs="仿宋_GB2312" w:eastAsia="仿宋_GB2312"/>
        </w:rPr>
        <w:t>2、财务状况报告：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5、具有履行合同的声明：提供具有履行本合同所必需的设备和专业技术能力的说明及承诺；供应商需在项目电子化交易系统中按要求上传，并进行电子签章。</w:t>
      </w:r>
    </w:p>
    <w:p>
      <w:pPr>
        <w:pStyle w:val="null3"/>
      </w:pPr>
      <w:r>
        <w:rPr>
          <w:rFonts w:ascii="仿宋_GB2312" w:hAnsi="仿宋_GB2312" w:cs="仿宋_GB2312" w:eastAsia="仿宋_GB2312"/>
        </w:rPr>
        <w:t>6、无重大违法记录书面声明：参加政府采购活动前三年内在经营活动中无重大违法记录的书面声明；供应商需在项目电子化交易系统中按要求上传，并进行电子签章。</w:t>
      </w:r>
    </w:p>
    <w:p>
      <w:pPr>
        <w:pStyle w:val="null3"/>
      </w:pPr>
      <w:r>
        <w:rPr>
          <w:rFonts w:ascii="仿宋_GB2312" w:hAnsi="仿宋_GB2312" w:cs="仿宋_GB2312" w:eastAsia="仿宋_GB2312"/>
        </w:rPr>
        <w:t>7、非联合体投标声明：本项目不接受联合体投标，供应商需在项目电子化交易系统中按要求上传，并进行电子签章。</w:t>
      </w:r>
    </w:p>
    <w:p>
      <w:pPr>
        <w:pStyle w:val="null3"/>
      </w:pPr>
      <w:r>
        <w:rPr>
          <w:rFonts w:ascii="仿宋_GB2312" w:hAnsi="仿宋_GB2312" w:cs="仿宋_GB2312" w:eastAsia="仿宋_GB2312"/>
        </w:rPr>
        <w:t>8、信誉信息：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p>
      <w:pPr>
        <w:pStyle w:val="null3"/>
      </w:pPr>
      <w:r>
        <w:rPr>
          <w:rFonts w:ascii="仿宋_GB2312" w:hAnsi="仿宋_GB2312" w:cs="仿宋_GB2312" w:eastAsia="仿宋_GB2312"/>
        </w:rPr>
        <w:t>9、法定代表人授权书/法定代表人身份证明书：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p>
      <w:pPr>
        <w:pStyle w:val="null3"/>
      </w:pPr>
      <w:r>
        <w:rPr>
          <w:rFonts w:ascii="仿宋_GB2312" w:hAnsi="仿宋_GB2312" w:cs="仿宋_GB2312" w:eastAsia="仿宋_GB2312"/>
        </w:rPr>
        <w:t>10、无控股、管理承诺：单位负责人为同一人或者存在直接控股、管理关系的不同投标人，不得同时参加同一合同项下的政府采购活动；供应商需在项目电子化交易系统中按要求上传，并进行电子签章。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1、营业执照等证明文件：提供统一社会信用代码的营业执照或其他组织经营的合法凭证或自然人的身份证明文件；供应商需在项目电子化交易系统中按要求上传，并进行电子签章。</w:t>
      </w:r>
    </w:p>
    <w:p>
      <w:pPr>
        <w:pStyle w:val="null3"/>
      </w:pPr>
      <w:r>
        <w:rPr>
          <w:rFonts w:ascii="仿宋_GB2312" w:hAnsi="仿宋_GB2312" w:cs="仿宋_GB2312" w:eastAsia="仿宋_GB2312"/>
        </w:rPr>
        <w:t>2、财务状况报告：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5、具有履行合同的声明：提供具有履行本合同所必需的设备和专业技术能力的说明及承诺；供应商需在项目电子化交易系统中按要求上传，并进行电子签章。</w:t>
      </w:r>
    </w:p>
    <w:p>
      <w:pPr>
        <w:pStyle w:val="null3"/>
      </w:pPr>
      <w:r>
        <w:rPr>
          <w:rFonts w:ascii="仿宋_GB2312" w:hAnsi="仿宋_GB2312" w:cs="仿宋_GB2312" w:eastAsia="仿宋_GB2312"/>
        </w:rPr>
        <w:t>6、无重大违法记录书面声明：参加政府采购活动前三年内在经营活动中无重大违法记录的书面声明；供应商需在项目电子化交易系统中按要求上传，并进行电子签章。</w:t>
      </w:r>
    </w:p>
    <w:p>
      <w:pPr>
        <w:pStyle w:val="null3"/>
      </w:pPr>
      <w:r>
        <w:rPr>
          <w:rFonts w:ascii="仿宋_GB2312" w:hAnsi="仿宋_GB2312" w:cs="仿宋_GB2312" w:eastAsia="仿宋_GB2312"/>
        </w:rPr>
        <w:t>7、非联合体投标声明：本项目不接受联合体投标，供应商需在项目电子化交易系统中按要求上传，并进行电子签章。</w:t>
      </w:r>
    </w:p>
    <w:p>
      <w:pPr>
        <w:pStyle w:val="null3"/>
      </w:pPr>
      <w:r>
        <w:rPr>
          <w:rFonts w:ascii="仿宋_GB2312" w:hAnsi="仿宋_GB2312" w:cs="仿宋_GB2312" w:eastAsia="仿宋_GB2312"/>
        </w:rPr>
        <w:t>8、信誉信息：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p>
      <w:pPr>
        <w:pStyle w:val="null3"/>
      </w:pPr>
      <w:r>
        <w:rPr>
          <w:rFonts w:ascii="仿宋_GB2312" w:hAnsi="仿宋_GB2312" w:cs="仿宋_GB2312" w:eastAsia="仿宋_GB2312"/>
        </w:rPr>
        <w:t>9、法定代表人授权书/法定代表人身份证明书：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p>
      <w:pPr>
        <w:pStyle w:val="null3"/>
      </w:pPr>
      <w:r>
        <w:rPr>
          <w:rFonts w:ascii="仿宋_GB2312" w:hAnsi="仿宋_GB2312" w:cs="仿宋_GB2312" w:eastAsia="仿宋_GB2312"/>
        </w:rPr>
        <w:t>10、无控股、管理承诺：单位负责人为同一人或者存在直接控股、管理关系的不同投标人，不得同时参加同一合同项下的政府采购活动；供应商需在项目电子化交易系统中按要求上传，并进行电子签章。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1、营业执照等证明文件：提供统一社会信用代码的营业执照或其他组织经营的合法凭证或自然人的身份证明文件；供应商需在项目电子化交易系统中按要求上传，并进行电子签章。</w:t>
      </w:r>
    </w:p>
    <w:p>
      <w:pPr>
        <w:pStyle w:val="null3"/>
      </w:pPr>
      <w:r>
        <w:rPr>
          <w:rFonts w:ascii="仿宋_GB2312" w:hAnsi="仿宋_GB2312" w:cs="仿宋_GB2312" w:eastAsia="仿宋_GB2312"/>
        </w:rPr>
        <w:t>2、财务状况报告：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5、具有履行合同的声明：提供具有履行本合同所必需的设备和专业技术能力的说明及承诺；供应商需在项目电子化交易系统中按要求上传，并进行电子签章。</w:t>
      </w:r>
    </w:p>
    <w:p>
      <w:pPr>
        <w:pStyle w:val="null3"/>
      </w:pPr>
      <w:r>
        <w:rPr>
          <w:rFonts w:ascii="仿宋_GB2312" w:hAnsi="仿宋_GB2312" w:cs="仿宋_GB2312" w:eastAsia="仿宋_GB2312"/>
        </w:rPr>
        <w:t>6、无重大违法记录书面声明：参加政府采购活动前三年内在经营活动中无重大违法记录的书面声明；供应商需在项目电子化交易系统中按要求上传，并进行电子签章。</w:t>
      </w:r>
    </w:p>
    <w:p>
      <w:pPr>
        <w:pStyle w:val="null3"/>
      </w:pPr>
      <w:r>
        <w:rPr>
          <w:rFonts w:ascii="仿宋_GB2312" w:hAnsi="仿宋_GB2312" w:cs="仿宋_GB2312" w:eastAsia="仿宋_GB2312"/>
        </w:rPr>
        <w:t>7、非联合体投标声明：本项目不接受联合体投标，供应商需在项目电子化交易系统中按要求上传，并进行电子签章。</w:t>
      </w:r>
    </w:p>
    <w:p>
      <w:pPr>
        <w:pStyle w:val="null3"/>
      </w:pPr>
      <w:r>
        <w:rPr>
          <w:rFonts w:ascii="仿宋_GB2312" w:hAnsi="仿宋_GB2312" w:cs="仿宋_GB2312" w:eastAsia="仿宋_GB2312"/>
        </w:rPr>
        <w:t>8、信誉信息：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p>
      <w:pPr>
        <w:pStyle w:val="null3"/>
      </w:pPr>
      <w:r>
        <w:rPr>
          <w:rFonts w:ascii="仿宋_GB2312" w:hAnsi="仿宋_GB2312" w:cs="仿宋_GB2312" w:eastAsia="仿宋_GB2312"/>
        </w:rPr>
        <w:t>9、法定代表人授权书/法定代表人身份证明书：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p>
      <w:pPr>
        <w:pStyle w:val="null3"/>
      </w:pPr>
      <w:r>
        <w:rPr>
          <w:rFonts w:ascii="仿宋_GB2312" w:hAnsi="仿宋_GB2312" w:cs="仿宋_GB2312" w:eastAsia="仿宋_GB2312"/>
        </w:rPr>
        <w:t>10、无控股、管理承诺：单位负责人为同一人或者存在直接控股、管理关系的不同投标人，不得同时参加同一合同项下的政府采购活动；供应商需在项目电子化交易系统中按要求上传，并进行电子签章。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1、营业执照等证明文件：提供统一社会信用代码的营业执照或其他组织经营的合法凭证或自然人的身份证明文件；供应商需在项目电子化交易系统中按要求上传，并进行电子签章。</w:t>
      </w:r>
    </w:p>
    <w:p>
      <w:pPr>
        <w:pStyle w:val="null3"/>
      </w:pPr>
      <w:r>
        <w:rPr>
          <w:rFonts w:ascii="仿宋_GB2312" w:hAnsi="仿宋_GB2312" w:cs="仿宋_GB2312" w:eastAsia="仿宋_GB2312"/>
        </w:rPr>
        <w:t>2、财务状况报告：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5、具有履行合同的声明：提供具有履行本合同所必需的设备和专业技术能力的说明及承诺；供应商需在项目电子化交易系统中按要求上传，并进行电子签章。</w:t>
      </w:r>
    </w:p>
    <w:p>
      <w:pPr>
        <w:pStyle w:val="null3"/>
      </w:pPr>
      <w:r>
        <w:rPr>
          <w:rFonts w:ascii="仿宋_GB2312" w:hAnsi="仿宋_GB2312" w:cs="仿宋_GB2312" w:eastAsia="仿宋_GB2312"/>
        </w:rPr>
        <w:t>6、无重大违法记录书面声明：参加政府采购活动前三年内在经营活动中无重大违法记录的书面声明；供应商需在项目电子化交易系统中按要求上传，并进行电子签章。</w:t>
      </w:r>
    </w:p>
    <w:p>
      <w:pPr>
        <w:pStyle w:val="null3"/>
      </w:pPr>
      <w:r>
        <w:rPr>
          <w:rFonts w:ascii="仿宋_GB2312" w:hAnsi="仿宋_GB2312" w:cs="仿宋_GB2312" w:eastAsia="仿宋_GB2312"/>
        </w:rPr>
        <w:t>7、非联合体投标声明：本项目不接受联合体投标，供应商需在项目电子化交易系统中按要求上传，并进行电子签章。</w:t>
      </w:r>
    </w:p>
    <w:p>
      <w:pPr>
        <w:pStyle w:val="null3"/>
      </w:pPr>
      <w:r>
        <w:rPr>
          <w:rFonts w:ascii="仿宋_GB2312" w:hAnsi="仿宋_GB2312" w:cs="仿宋_GB2312" w:eastAsia="仿宋_GB2312"/>
        </w:rPr>
        <w:t>8、信誉信息：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p>
      <w:pPr>
        <w:pStyle w:val="null3"/>
      </w:pPr>
      <w:r>
        <w:rPr>
          <w:rFonts w:ascii="仿宋_GB2312" w:hAnsi="仿宋_GB2312" w:cs="仿宋_GB2312" w:eastAsia="仿宋_GB2312"/>
        </w:rPr>
        <w:t>9、法定代表人授权书/法定代表人身份证明书：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p>
      <w:pPr>
        <w:pStyle w:val="null3"/>
      </w:pPr>
      <w:r>
        <w:rPr>
          <w:rFonts w:ascii="仿宋_GB2312" w:hAnsi="仿宋_GB2312" w:cs="仿宋_GB2312" w:eastAsia="仿宋_GB2312"/>
        </w:rPr>
        <w:t>10、无控股、管理承诺：单位负责人为同一人或者存在直接控股、管理关系的不同投标人，不得同时参加同一合同项下的政府采购活动；供应商需在项目电子化交易系统中按要求上传，并进行电子签章。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渭南市临渭区农村合作经济工作站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渭南市临渭区农村合作经济工作站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0913-8590021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高宇姣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p>
          <w:p>
            <w:pPr>
              <w:pStyle w:val="null3"/>
            </w:pPr>
            <w:r>
              <w:rPr>
                <w:rFonts w:ascii="仿宋_GB2312" w:hAnsi="仿宋_GB2312" w:cs="仿宋_GB2312" w:eastAsia="仿宋_GB2312"/>
              </w:rPr>
              <w:t>采购包2：1,500,000.00元</w:t>
            </w:r>
          </w:p>
          <w:p>
            <w:pPr>
              <w:pStyle w:val="null3"/>
            </w:pPr>
            <w:r>
              <w:rPr>
                <w:rFonts w:ascii="仿宋_GB2312" w:hAnsi="仿宋_GB2312" w:cs="仿宋_GB2312" w:eastAsia="仿宋_GB2312"/>
              </w:rPr>
              <w:t>采购包3：900,000.00元</w:t>
            </w:r>
          </w:p>
          <w:p>
            <w:pPr>
              <w:pStyle w:val="null3"/>
            </w:pPr>
            <w:r>
              <w:rPr>
                <w:rFonts w:ascii="仿宋_GB2312" w:hAnsi="仿宋_GB2312" w:cs="仿宋_GB2312" w:eastAsia="仿宋_GB2312"/>
              </w:rPr>
              <w:t>采购包4：700,000.00元</w:t>
            </w:r>
          </w:p>
          <w:p>
            <w:pPr>
              <w:pStyle w:val="null3"/>
            </w:pPr>
            <w:r>
              <w:rPr>
                <w:rFonts w:ascii="仿宋_GB2312" w:hAnsi="仿宋_GB2312" w:cs="仿宋_GB2312" w:eastAsia="仿宋_GB2312"/>
              </w:rPr>
              <w:t>采购包5：1,500,000.00元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采购包4保证金金额：10,000.00元</w:t>
            </w:r>
          </w:p>
          <w:p>
            <w:pPr>
              <w:pStyle w:val="null3"/>
            </w:pPr>
            <w:r>
              <w:rPr>
                <w:rFonts w:ascii="仿宋_GB2312" w:hAnsi="仿宋_GB2312" w:cs="仿宋_GB2312" w:eastAsia="仿宋_GB2312"/>
              </w:rPr>
              <w:t>采购包5保证金金额：15,000.00元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由中标单位支付，按照《国家发展改革委关于进一步放开建设项目专业服务价格的通知》（发改价格﹝2015﹞299号）的要求，参照《国家计委关于印发&lt;招标代理服务收费管理暂行办法&gt;的通知》（计价格〔2002〕1980号）和发改价格〔 2011〕534号文中规定的标准执行。 2. 由中标单位在领取中标通知书前，须向采购代理机构一次性支付招标代理服务费。 3.采购代理服务费账户 户 名：陕西侗伟项目管理有限公司账 号：6105 0164 1400 0000 0348 开户银行：中国建设银行股份有限公司渭南胜利大街支行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渭南市临渭区农村合作经济工作站</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渭南市临渭区农村合作经济工作站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渭南市临渭区农村合作经济工作站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联系人：高宇姣</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地址：渭南市胜利大街与前进路十字西200米（雅馨花园C座东二楼）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下邽镇、官道镇、官邸镇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故市镇、官路镇、官道镇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故市镇、丰原镇、崇凝镇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孝义镇、官底镇、下邽镇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故市镇、蔺店镇、官道镇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标的名称：下邽镇、官道镇、官邸镇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服务区域为下邽镇、官道镇、官邸镇，服务面积不少于15400亩。</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围绕玉米收获，小麦耕、种、镇压等重点环节，面向小农户开展多环节托管作业服务。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标的名称：故市镇、官路镇、官道镇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服务区域为故市镇、官路镇、官道镇，服务面积不少于16500亩。</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围绕玉米收获，小麦耕、种、镇压等重点环节，面向小农户开展多环节托管作业服务。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标的名称：故市镇、丰原镇、崇凝镇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服务区域为故市镇、丰原镇、崇凝镇，服务面积不少于9900亩。</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围绕玉米收获，小麦耕、种、镇压等重点环节，面向小农户开展多环节托管作业服务。</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标的名称：孝义镇、官底镇、下邽镇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服务区域为孝义镇、官底镇、下邽镇，服务面积不少于7700亩。</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围绕玉米收获，小麦耕、种、镇压等重点环节，面向小农户开展多环节托管作业服务。</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标的名称：故市镇、蔺店镇、官道镇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渭南市临渭区农业农村局《关于下达2025年农业社会化服务项目实施方案的通知》（渭临政农函〔2025〕145号）文件精神及要求，参照《陕西省农业农村厅制定印发的粮油等作物农业生产托管服务运行规范和技术规程》要求执行，在全区范围内，针对小麦、玉米等粮油作物，择优选择符合条件的服务主体提供专业化、便利化的多环节托管服务。通过项目实施，大力推广粮油大面积单产提升等先进适用技术，应用配套综合性解决方案，促进高产高质、节本减损，引领小农户与现代农业发展有机衔接。</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服务区域为故市镇、蔺店镇、官道镇，服务面积不少于16500亩。</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围绕玉米收获，小麦耕、种、镇压等重点环节，面向小农户开展多环节托管作业服务。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符合本项目服务要求。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符合本项目服务要求。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符合本项目服务要求。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自合同签订之日起至2025年11月底。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自合同签订之日起至2025年11月底。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自合同签订之日起至2025年11月底。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自合同签订之日起至2025年11月底。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渭南市临渭区下邽镇、官道镇、官邸镇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渭南市临渭区故市镇、官路镇、官道镇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渭南市临渭区故市镇、丰原镇、崇凝镇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渭南市临渭区孝义镇、官底镇、下邽镇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渭南市临渭区故市镇、蔺店镇、官道镇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项目按照“先建后补”方式实施，完成服务内容后，根据实际作业面积据实结算，达到验收标准，经相关部门验收合格并出具验收报告后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项目按照“先建后补”方式实施，完成服务内容后，根据实际作业面积据实结算，达到验收标准，经相关部门验收合格并出具验收报告后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项目按照“先建后补”方式实施，完成服务内容后，根据实际作业面积据实结算，达到验收标准，经相关部门验收合格并出具验收报告后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项目按照“先建后补”方式实施，完成服务内容后，根据实际作业面积据实结算，达到验收标准，经相关部门验收合格并出具验收报告后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项目按照“先建后补”方式实施，完成服务内容后，根据实际作业面积据实结算，达到验收标准，经相关部门验收合格并出具验收报告后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项目按照“先建后补”方式实施，完成服务内容后，根据实际作业面积据实结算，达到验收标准，验收合格后采购人按照程序进行报账付款。结算总金额不高于本包预算金额（补助资金）1400000.00元。 采购包2： 项目按照“先建后补”方式实施，完成服务内容后，根据实际作业面积据实结算，达到验收标准，验收合格后采购人按照程序进行报账付款。结算总金额不高于本包预算金额（补助资金）1500000.00元。 采购包3： 项目按照“先建后补”方式实施，完成服务内容后，根据实际作业面积据实结算，达到验收标准，验收合格后采购人按照程序进行报账付款。结算总金额不高于本包预算金额（补助资金）900000.00元。 采购包4： 项目按照“先建后补”方式实施，完成服务内容后，根据实际作业面积据实结算，达到验收标准，验收合格后采购人按照程序进行报账付款。结算总金额不高于本包预算金额（补助资金）700000.00元。 采购包5： 项目按照“先建后补”方式实施，完成服务内容后，根据实际作业面积据实结算，达到验收标准，验收合格后采购人按照程序进行报账付款。结算总金额不高于本包预算金额（补助资金）1500000.00元。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资格证明文件.pdf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资格证明文件.pdf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资格证明文件.pdf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至少包括资产负债表和利润表，成立时间至提交响应文件截止时间不足一年的可提供成立后任意时段的资产负债表），或其基本存款账户开户银行出具的资信证明及基本存款账户开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网”（www.ccgp.gov.cn）政府采购严重违法失信行为记录名单中被财政部门禁止参加政府采购活动的供应商。供应商需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直接参加投标的，须提供法定代表人身份证明及其身份证扫描件；法定代表人授权他人参加投标的，须提供法定代表人身份证明及法定代表人授权委托书；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单位负责人为同一人或者存在直接控股、管理关系的不同投标人，不得同时参加同一合同项下的政府采购活动；供应商需在项目电子化交易系统中按要求上传，并进行电子签章。</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投标函 投标文件封面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偏离表（采购包1）.pdf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投标保证金.pdf 总体方案.pdf 偏离表（采购包1）.pdf 安全保障.pdf 进度安排.pdf 业绩证明文件.pdf 中小企业声明函 投标人认为需要提供的其他资料.pdf 报价明细表.pdf 合理化建议.pdf 服务管理措施.pdf 投标函 政府采购供应商拒绝政府采购领域商业贿赂承诺书.pdf 残疾人福利性单位声明函 标的清单 投标文件封面 设备配备.pdf 资格证明文件.pdf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投标保证金.pdf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投标函 投标文件封面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偏离表（采购包2）.pdf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投标保证金.pdf 总体方案.pdf 安全保障.pdf 进度安排.pdf 中小企业声明函 投标人认为需要提供的其他资料.pdf 报价明细表.pdf 合理化建议.pdf 偏离表（采购包2）.pdf 服务管理措施.pdf 投标函 政府采购供应商拒绝政府采购领域商业贿赂承诺书.pdf 业绩证明文件(1).pdf 残疾人福利性单位声明函 标的清单 投标文件封面 设备配备.pdf 资格证明文件.pdf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投标保证金.pdf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投标函 投标文件封面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偏离表（采购包3）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投标保证金.pdf 总体方案.pdf 安全保障.pdf 进度安排.pdf 业绩证明文件.pdf 中小企业声明函 投标人认为需要提供的其他资料.pdf 报价明细表.pdf 合理化建议.pdf 偏离表（采购包3） 服务管理措施.pdf 投标函 政府采购供应商拒绝政府采购领域商业贿赂承诺书.pdf 残疾人福利性单位声明函 标的清单 投标文件封面 设备配备.pdf 资格证明文件.pdf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投标保证金.pdf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投标函 投标文件封面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报价明细表.pdf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偏离表（采购包4）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投标保证金.pdf 总体方案.pdf 安全保障.pdf 进度安排.pdf 中小企业声明函 投标人认为需要提供的其他资料.pdf 报价明细表.pdf 合理化建议.pdf 偏离表（采购包4） 服务管理措施.pdf 投标函 政府采购供应商拒绝政府采购领域商业贿赂承诺书.pdf 业绩证明文件(1).pdf 残疾人福利性单位声明函 标的清单 投标文件封面 设备配备.pdf 资格证明文件.pdf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投标保证金.pdf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投标函 投标文件封面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开标一览表 报价明细表.pdf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偏离表（采购包5）</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投标保证金.pdf 总体方案.pdf 安全保障.pdf 进度安排.pdf 业绩证明文件.pdf 中小企业声明函 投标人认为需要提供的其他资料.pdf 报价明细表.pdf 合理化建议.pdf 服务管理措施.pdf 投标函 政府采购供应商拒绝政府采购领域商业贿赂承诺书.pdf 残疾人福利性单位声明函 标的清单 投标文件封面 设备配备.pdf 资格证明文件.pdf 监狱企业的证明文件 偏离表（采购包5）</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投标保证金.pdf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投标人提供的日常服务作业方案，主要围绕玉米收获，小麦耕、种、镇压等重点环节提供方案，工作方案完整合理，措施有效扎实，管理责任清晰，相关责任制度、预案、作业方式及作业人员交接方式等进行综合评定。方案全面、合理、全方面满足项目需求得[10-15]分；方案较全面、基本合理、基本满足项目需求(5-10分；方案不全面、合理性欠缺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总体方案.pdf</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围绕玉米收获，小麦耕、种、镇压等重点环节作业，阶段任务按时完成的保障措施，进度计划安排全面、合理、保障措施可操作性强得[10-15]分；进度计划安排基本合理、保障措施可操作性一般得(5-10)分；进度计划安排不合理、措施操作性欠佳得 (0-5)分。 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进度安排.pdf</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投标人在作业过程中，针对人员及作业环境安全防范措施方面较为全面、具体、可行的得[5-10]分；对工作人员及作业环境安全防范措施方面不全面、可行性度不高得(0-5)分。本项未提供不得分。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安全保障.pdf</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拟投入本项目的设备综合评审，围绕玉米收获，小麦耕、种、镇压等重点环节；拟投入设备设施的配置方案完全满足实际需要，设备先进，种类齐全计[10-15]分；设备设施的配备方案基本满足实际需求，基本完善、可行的[5-10)分；设备设施的配备方案不能满足实际需求，不完善（0-5]分；此项未提供者不计分。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项目组人员分工明确、责任明确，围绕玉米收获，小麦耕、种、镇压等重点环节，开展多环节托管作业服务组织人员班组结构合理，专业齐全能够全面满足项目需求得 [6-8]分；人员分配基本合理、专业性较强得(3-6)分；人员 配备不合理、专业性较差得(0-3)分。本项未提供不得分。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服务管理目标、整体设想和内部规章制度全面、具有留存托管服务档案、收集各类信息及管理能力的保障措施。措施可行、 全面得[4-8]分；措施可行性度不高得(0-4)分。本项未提供不得分。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提供本项目的合理化建议及遇到突发事件的应对措施。建议可行、应急措施全面、科学得[4-8]分；建议不全面、措施可行性度不高得(0-4)分。本项未提供不得分。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投标人具有近三年(2022年9月至今)的类似项目业绩(提供印证资料并加盖投标人公章)每个计3分，最多计6分。本项未提供不得分。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满足招标文件要求且投标总报价最低的投标人的价格为评标基准价，其价格分为满分15分，其他各投标人的投标报价得分按下列公式计算 ：投标报价得分=（投标基准价/投标报价） ×15%×100。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 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投标人提供的日常服务作业方案，主要围绕玉米收获，小麦耕、种、镇压等重点环节提供方案，工作方案完整合理，措施有效扎实，管理责任清晰，相关责任制度、预案、作业方式及作业人员交接方式等进行综合评定。方案全面、合理、全方面满足项目需求得[10-15]分；方案较全面、基本合理、基本满足项目需求(5-10分；方案不全面、合理性欠缺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总体方案.pdf</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围绕玉米收获，小麦耕、种、镇压等重点环节作业，阶段任务按时完成的保障措施，进度计划安排全面、合理、保障措施可操作性强得[10-15]分；进度计划安排基本合理、保障措施可操作性一般得(5-10)分；进度计划安排不合理、措施操作性欠佳得 (0-5)分。 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进度安排.pdf</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投标人在作业过程中，针对人员及作业环境安全防范措施方面较为全面、具体、可行的得[5-10]分；对工作人员及作业环境安全防范措施方面不全面、可行性度不高得(0-5)分。本项未提供不得分。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安全保障.pdf</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拟投入本项目的设备综合评审，围绕玉米收获，小麦耕、种、镇压等重点环节；拟投入设备设施的配置方案完全满足实际需要，设备先进，种类齐全计[10-15]分；设备设施的配备方案基本满足实际需求，基本完善、可行的[5-10)分；设备设施的配备方案不能满足实际需求，不完善（0-5]分；此项未提供者不计分。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项目组人员分工明确、责任明确，围绕玉米收获，小麦耕、种、镇压等重点环节，开展多环节托管作业服务组织人员班组结构合理，专业齐全能够全面满足项目需求得 [6-8]分；人员分配基本合理、专业性较强得(3-6)分；人员 配备不合理、专业性较差得(0-3)分。本项未提供不得分。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服务管理目标、整体设想和内部规章制度全面、具有留存托管服务档案、收集各类信息及管理能力的保障措施。措施可行、 全面得[4-8]分；措施可行性度不高得(0-4)分。本项未提供不得分。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提供本项目的合理化建议及遇到突发事件的应对措施。建议可行、应急措施全面、科学得[4-8]分；建议不全面、措施可行性度不高得(0-4)分。本项未提供不得分。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投标人具有近三年(2022年9月至今)的类似项目业绩(提供印证资料并加盖投标人公章)每个计3分，最多计6分。本项未提供不得分。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业绩证明文件(1).pdf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满足招标文件要求且投标总报价最低的投标人的价格为评标基准价，其价格分为满分15分，其他各投标人的投标报价得分按下列公式计算 ：投标报价得分=（投标基准价/投标报价） ×15%×100。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投标人提供的日常服务作业方案，主要围绕玉米收获，小麦耕、种、镇压等重点环节提供方案，工作方案完整合理，措施有效扎实，管理责任清晰，相关责任制度、预案、作业方式及作业人员交接方式等进行综合评定。方案全面、合理、全方面满足项目需求得[10-15]分；方案较全面、基本合理、基本满足项目需求(5-10分；方案不全面、合理性欠缺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总体方案.pdf</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围绕玉米收获，小麦耕、种、镇压等重点环节作业，阶段任务按时完成的保障措施，进度计划安排全面、合理、保障措施可操作性强得[10-15]分；进度计划安排基本合理、保障措施可操作性一般得(5-10)分；进度计划安排不合理、措施操作性欠佳得 (0-5)分。 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进度安排.pdf</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投标人在作业过程中，针对人员及作业环境安全防范措施方面较为全面、具体、可行的得[5-10]分；对工作人员及作业环境安全防范措施方面不全面、可行性度不高得(0-5)分。本项未提供不得分。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安全保障.pdf</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拟投入本项目的设备综合评审，围绕玉米收获，小麦耕、种、镇压等重点环节；拟投入设备设施的配置方案完全满足实际需要，设备先进，种类齐全计[10-15]分；设备设施的配备方案基本满足实际需求，基本完善、可行的[5-10)分；设备设施的配备方案不能满足实际需求，不完善（0-5]分；此项未提供者不计分。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项目组人员分工明确、责任明确，围绕玉米收获，小麦耕、种、镇压等重点环节，开展多环节托管作业服务组织人员班组结构合理，专业齐全能够全面满足项目需求得 [6-8]分；人员分配基本合理、专业性较强得(3-6)分；人员 配备不合理、专业性较差得(0-3)分。本项未提供不得分。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服务管理目标、整体设想和内部规章制度全面、具有留存托管服务档案、收集各类信息及管理能力的保障措施。措施可行、 全面得[4-8]分；措施可行性度不高得(0-4)分。本项未提供不得分。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提供本项目的合理化建议及遇到突发事件的应对措施。建议可行、应急措施全面、科学得[4-8]分；建议不全面、措施可行性度不高得(0-4)分。本项未提供不得分。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投标人具有近三年(2022年9月至今)的类似项目业绩(提供印证资料并加盖投标人公章)每个计3分，最多计6分。本项未提供不得分。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满足招标文件要求且投标总报价最低的投标人的价格为评标基准价，其价格分为满分15分，其他各投标人的投标报价得分按下列公式计算 ：投标报价得分=（投标基准价/投标报价） ×15%×100。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投标人提供的日常服务作业方案，主要围绕玉米收获，小麦耕、种、镇压等重点环节提供方案，工作方案完整合理，措施有效扎实，管理责任清晰，相关责任制度、预案、作业方式及作业人员交接方式等进行综合评定。方案全面、合理、全方面满足项目需求得[10-15]分；方案较全面、基本合理、基本满足项目需求(5-10分；方案不全面、合理性欠缺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总体方案.pdf</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围绕玉米收获，小麦耕、种、镇压等重点环节作业，阶段任务按时完成的保障措施，进度计划安排全面、合理、保障措施可操作性强得[10-15]分；进度计划安排基本合理、保障措施可操作性一般得(5-10)分；进度计划安排不合理、措施操作性欠佳得 (0-5)分。 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进度安排.pdf</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投标人在作业过程中，针对人员及作业环境安全防范措施方面较为全面、具体、可行的得[5-10]分；对工作人员及作业环境安全防范措施方面不全面、可行性度不高得(0-5)分。本项未提供不得分。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安全保障.pdf</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拟投入本项目的设备综合评审，围绕玉米收获，小麦耕、种、镇压等重点环节；拟投入设备设施的配置方案完全满足实际需要，设备先进，种类齐全计[10-15]分；设备设施的配备方案基本满足实际需求，基本完善、可行的[5-10)分；设备设施的配备方案不能满足实际需求，不完善（0-5]分；此项未提供者不计分。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项目组人员分工明确、责任明确，围绕玉米收获，小麦耕、种、镇压等重点环节，开展多环节托管作业服务组织人员班组结构合理，专业齐全能够全面满足项目需求得 [6-8]分；人员分配基本合理、专业性较强得(3-6)分；人员 配备不合理、专业性较差得(0-3)分。本项未提供不得分。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服务管理目标、整体设想和内部规章制度全面、具有留存托管服务档案、收集各类信息及管理能力的保障措施。措施可行、 全面得[4-8]分；措施可行性度不高得(0-4)分。本项未提供不得分。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提供本项目的合理化建议及遇到突发事件的应对措施。建议可行、应急措施全面、科学得[4-8]分；建议不全面、措施可行性度不高得(0-4)分。本项未提供不得分。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投标人具有近三年(2022年9月至今)的类似项目业绩(提供印证资料并加盖投标人公章)每个计3分，最多计6分。本项未提供不得分。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业绩证明文件(1).pdf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满足招标文件要求且投标总报价最低的投标人的价格为评标基准价，其价格分为满分15分，其他各投标人的投标报价得分按下列公式计算 ：投标报价得分=（投标基准价/投标报价） ×15%×100。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投标人提供的日常服务作业方案，主要围绕玉米收获，小麦耕、种、镇压等重点环节提供方案，工作方案完整合理，措施有效扎实，管理责任清晰，相关责任制度、预案、作业方式及作业人员交接方式等进行综合评定。方案全面、合理、全方面满足项目需求得[10-15]分；方案较全面、基本合理、基本满足项目需求(5-10分；方案不全面、合理性欠缺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总体方案.pdf</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围绕玉米收获，小麦耕、种、镇压等重点环节作业，阶段任务按时完成的保障措施，进度计划安排全面、合理、保障措施可操作性强得[10-15]分；进度计划安排基本合理、保障措施可操作性一般得(5-10)分；进度计划安排不合理、措施操作性欠佳得 (0-5)分。 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进度安排.pdf</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投标人在作业过程中，针对人员及作业环境安全防范措施方面较为全面、具体、可行的得[5-10]分；对工作人员及作业环境安全防范措施方面不全面、可行性度不高得(0-5)分。本项未提供不得分。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安全保障.pdf</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拟投入本项目的设备综合评审，围绕玉米收获，小麦耕、种、镇压等重点环节；拟投入设备设施的配置方案完全满足实际需要，设备先进，种类齐全计[10-15]分；设备设施的配备方案基本满足实际需求，基本完善、可行的[5-10)分；设备设施的配备方案不能满足实际需求，不完善（0-5]分；此项未提供者不计分。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项目组人员分工明确、责任明确，围绕玉米收获，小麦耕、种、镇压等重点环节，开展多环节托管作业服务组织人员班组结构合理，专业齐全能够全面满足项目需求得 [6-8]分；人员分配基本合理、专业性较强得(3-6)分；人员 配备不合理、专业性较差得(0-3)分。本项未提供不得分。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服务管理目标、整体设想和内部规章制度全面、具有留存托管服务档案、收集各类信息及管理能力的保障措施。措施可行、 全面得[4-8]分；措施可行性度不高得(0-4)分。本项未提供不得分。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提供本项目的合理化建议及遇到突发事件的应对措施。建议可行、应急措施全面、科学得[4-8]分；建议不全面、措施可行性度不高得(0-4)分。本项未提供不得分。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投标人具有近三年(2022年9月至今)的类似项目业绩(提供印证资料并加盖投标人公章)每个计3分，最多计6分。本项未提供不得分。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满足招标文件要求且投标总报价最低的投标人的价格为评标基准价，其价格分为满分15分，其他各投标人的投标报价得分按下列公式计算 ：投标报价得分=（投标基准价/投标报价） ×15%×100。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详见附件：偏离表（采购包1）.pdf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详见附件：安全保障.pdf</w:t>
      </w:r>
    </w:p>
    <w:p>
      <w:pPr>
        <w:pStyle w:val="null3"/>
        <w:ind w:firstLine="960"/>
      </w:pPr>
      <w:r>
        <w:rPr>
          <w:rFonts w:ascii="仿宋_GB2312" w:hAnsi="仿宋_GB2312" w:cs="仿宋_GB2312" w:eastAsia="仿宋_GB2312"/>
        </w:rPr>
        <w:t>详见附件：服务管理措施.pdf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详见附件：进度安排.pdf</w:t>
      </w:r>
    </w:p>
    <w:p>
      <w:pPr>
        <w:pStyle w:val="null3"/>
        <w:ind w:firstLine="960"/>
      </w:pPr>
      <w:r>
        <w:rPr>
          <w:rFonts w:ascii="仿宋_GB2312" w:hAnsi="仿宋_GB2312" w:cs="仿宋_GB2312" w:eastAsia="仿宋_GB2312"/>
        </w:rPr>
        <w:t>详见附件：设备配备.pdf</w:t>
      </w:r>
    </w:p>
    <w:p>
      <w:pPr>
        <w:pStyle w:val="null3"/>
        <w:ind w:firstLine="960"/>
      </w:pPr>
      <w:r>
        <w:rPr>
          <w:rFonts w:ascii="仿宋_GB2312" w:hAnsi="仿宋_GB2312" w:cs="仿宋_GB2312" w:eastAsia="仿宋_GB2312"/>
        </w:rPr>
        <w:t>详见附件：业绩证明文件.pdf</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详见附件：总体方案.pdf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详见附件：偏离表（采购包2）.pdf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详见附件：安全保障.pdf</w:t>
      </w:r>
    </w:p>
    <w:p>
      <w:pPr>
        <w:pStyle w:val="null3"/>
        <w:ind w:firstLine="960"/>
      </w:pPr>
      <w:r>
        <w:rPr>
          <w:rFonts w:ascii="仿宋_GB2312" w:hAnsi="仿宋_GB2312" w:cs="仿宋_GB2312" w:eastAsia="仿宋_GB2312"/>
        </w:rPr>
        <w:t>详见附件：服务管理措施.pdf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详见附件：进度安排.pdf</w:t>
      </w:r>
    </w:p>
    <w:p>
      <w:pPr>
        <w:pStyle w:val="null3"/>
        <w:ind w:firstLine="960"/>
      </w:pPr>
      <w:r>
        <w:rPr>
          <w:rFonts w:ascii="仿宋_GB2312" w:hAnsi="仿宋_GB2312" w:cs="仿宋_GB2312" w:eastAsia="仿宋_GB2312"/>
        </w:rPr>
        <w:t>详见附件：设备配备.pdf</w:t>
      </w:r>
    </w:p>
    <w:p>
      <w:pPr>
        <w:pStyle w:val="null3"/>
        <w:ind w:firstLine="960"/>
      </w:pPr>
      <w:r>
        <w:rPr>
          <w:rFonts w:ascii="仿宋_GB2312" w:hAnsi="仿宋_GB2312" w:cs="仿宋_GB2312" w:eastAsia="仿宋_GB2312"/>
        </w:rPr>
        <w:t>详见附件：业绩证明文件(1).pdf</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详见附件：总体方案.pdf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详见附件：偏离表（采购包3）</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详见附件：安全保障.pdf</w:t>
      </w:r>
    </w:p>
    <w:p>
      <w:pPr>
        <w:pStyle w:val="null3"/>
        <w:ind w:firstLine="960"/>
      </w:pPr>
      <w:r>
        <w:rPr>
          <w:rFonts w:ascii="仿宋_GB2312" w:hAnsi="仿宋_GB2312" w:cs="仿宋_GB2312" w:eastAsia="仿宋_GB2312"/>
        </w:rPr>
        <w:t>详见附件：服务管理措施.pdf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详见附件：进度安排.pdf</w:t>
      </w:r>
    </w:p>
    <w:p>
      <w:pPr>
        <w:pStyle w:val="null3"/>
        <w:ind w:firstLine="960"/>
      </w:pPr>
      <w:r>
        <w:rPr>
          <w:rFonts w:ascii="仿宋_GB2312" w:hAnsi="仿宋_GB2312" w:cs="仿宋_GB2312" w:eastAsia="仿宋_GB2312"/>
        </w:rPr>
        <w:t>详见附件：设备配备.pdf</w:t>
      </w:r>
    </w:p>
    <w:p>
      <w:pPr>
        <w:pStyle w:val="null3"/>
        <w:ind w:firstLine="960"/>
      </w:pPr>
      <w:r>
        <w:rPr>
          <w:rFonts w:ascii="仿宋_GB2312" w:hAnsi="仿宋_GB2312" w:cs="仿宋_GB2312" w:eastAsia="仿宋_GB2312"/>
        </w:rPr>
        <w:t>详见附件：业绩证明文件.pdf</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详见附件：总体方案.pdf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详见附件：偏离表（采购包4）</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详见附件：安全保障.pdf</w:t>
      </w:r>
    </w:p>
    <w:p>
      <w:pPr>
        <w:pStyle w:val="null3"/>
        <w:ind w:firstLine="960"/>
      </w:pPr>
      <w:r>
        <w:rPr>
          <w:rFonts w:ascii="仿宋_GB2312" w:hAnsi="仿宋_GB2312" w:cs="仿宋_GB2312" w:eastAsia="仿宋_GB2312"/>
        </w:rPr>
        <w:t>详见附件：服务管理措施.pdf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详见附件：进度安排.pdf</w:t>
      </w:r>
    </w:p>
    <w:p>
      <w:pPr>
        <w:pStyle w:val="null3"/>
        <w:ind w:firstLine="960"/>
      </w:pPr>
      <w:r>
        <w:rPr>
          <w:rFonts w:ascii="仿宋_GB2312" w:hAnsi="仿宋_GB2312" w:cs="仿宋_GB2312" w:eastAsia="仿宋_GB2312"/>
        </w:rPr>
        <w:t>详见附件：设备配备.pdf</w:t>
      </w:r>
    </w:p>
    <w:p>
      <w:pPr>
        <w:pStyle w:val="null3"/>
        <w:ind w:firstLine="960"/>
      </w:pPr>
      <w:r>
        <w:rPr>
          <w:rFonts w:ascii="仿宋_GB2312" w:hAnsi="仿宋_GB2312" w:cs="仿宋_GB2312" w:eastAsia="仿宋_GB2312"/>
        </w:rPr>
        <w:t>详见附件：业绩证明文件(1).pdf</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详见附件：总体方案.pdf</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详见附件：偏离表（采购包5）</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详见附件：安全保障.pdf</w:t>
      </w:r>
    </w:p>
    <w:p>
      <w:pPr>
        <w:pStyle w:val="null3"/>
        <w:ind w:firstLine="960"/>
      </w:pPr>
      <w:r>
        <w:rPr>
          <w:rFonts w:ascii="仿宋_GB2312" w:hAnsi="仿宋_GB2312" w:cs="仿宋_GB2312" w:eastAsia="仿宋_GB2312"/>
        </w:rPr>
        <w:t>详见附件：服务管理措施.pdf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详见附件：进度安排.pdf</w:t>
      </w:r>
    </w:p>
    <w:p>
      <w:pPr>
        <w:pStyle w:val="null3"/>
        <w:ind w:firstLine="960"/>
      </w:pPr>
      <w:r>
        <w:rPr>
          <w:rFonts w:ascii="仿宋_GB2312" w:hAnsi="仿宋_GB2312" w:cs="仿宋_GB2312" w:eastAsia="仿宋_GB2312"/>
        </w:rPr>
        <w:t>详见附件：设备配备.pdf</w:t>
      </w:r>
    </w:p>
    <w:p>
      <w:pPr>
        <w:pStyle w:val="null3"/>
        <w:ind w:firstLine="960"/>
      </w:pPr>
      <w:r>
        <w:rPr>
          <w:rFonts w:ascii="仿宋_GB2312" w:hAnsi="仿宋_GB2312" w:cs="仿宋_GB2312" w:eastAsia="仿宋_GB2312"/>
        </w:rPr>
        <w:t>详见附件：业绩证明文件.pdf</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详见附件：总体方案.pdf</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