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ascii="仿宋" w:hAnsi="仿宋" w:eastAsia="仿宋" w:cs="仿宋"/>
          <w:highlight w:val="none"/>
          <w:lang w:val="en-US" w:eastAsia="zh-CN"/>
        </w:rPr>
      </w:pPr>
    </w:p>
    <w:p>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项目编号:</w:t>
      </w:r>
    </w:p>
    <w:p>
      <w:pPr>
        <w:pStyle w:val="7"/>
        <w:rPr>
          <w:rFonts w:hint="eastAsia" w:ascii="仿宋" w:hAnsi="仿宋" w:eastAsia="仿宋" w:cs="仿宋"/>
          <w:lang w:val="en-US" w:eastAsia="zh-CN"/>
        </w:rPr>
      </w:pPr>
    </w:p>
    <w:p>
      <w:pPr>
        <w:widowControl w:val="0"/>
        <w:ind w:left="0" w:leftChars="0" w:firstLine="0" w:firstLineChars="0"/>
        <w:jc w:val="both"/>
        <w:rPr>
          <w:rFonts w:hint="eastAsia" w:ascii="仿宋" w:hAnsi="仿宋" w:eastAsia="仿宋" w:cs="仿宋"/>
          <w:color w:val="auto"/>
          <w:sz w:val="28"/>
          <w:szCs w:val="28"/>
          <w:lang w:val="en-US" w:eastAsia="zh-CN" w:bidi="ar-SA"/>
        </w:rPr>
      </w:pPr>
    </w:p>
    <w:p>
      <w:pPr>
        <w:pStyle w:val="5"/>
        <w:jc w:val="center"/>
        <w:rPr>
          <w:rFonts w:hint="eastAsia" w:ascii="仿宋" w:hAnsi="仿宋" w:eastAsia="仿宋_GB2312" w:cs="仿宋"/>
          <w:b/>
          <w:bCs w:val="0"/>
          <w:color w:val="auto"/>
          <w:kern w:val="0"/>
          <w:sz w:val="44"/>
          <w:szCs w:val="44"/>
          <w:lang w:val="en-US" w:eastAsia="zh-CN"/>
        </w:rPr>
      </w:pPr>
      <w:r>
        <w:rPr>
          <w:rFonts w:hint="eastAsia" w:ascii="仿宋_GB2312" w:hAnsi="仿宋_GB2312" w:eastAsia="仿宋_GB2312" w:cs="仿宋_GB2312"/>
          <w:b/>
          <w:sz w:val="30"/>
          <w:szCs w:val="30"/>
          <w:lang w:val="en-US" w:eastAsia="zh-CN"/>
        </w:rPr>
        <w:t>渭南市临渭区普惠托育中心设施设备</w:t>
      </w:r>
      <w:r>
        <w:rPr>
          <w:rFonts w:ascii="仿宋_GB2312" w:hAnsi="仿宋_GB2312" w:eastAsia="仿宋_GB2312" w:cs="仿宋_GB2312"/>
          <w:b/>
          <w:sz w:val="30"/>
          <w:szCs w:val="30"/>
        </w:rPr>
        <w:t>采购项目</w:t>
      </w:r>
      <w:r>
        <w:rPr>
          <w:rFonts w:hint="eastAsia" w:ascii="仿宋_GB2312" w:hAnsi="仿宋_GB2312" w:eastAsia="仿宋_GB2312" w:cs="仿宋_GB2312"/>
          <w:b/>
          <w:sz w:val="30"/>
          <w:szCs w:val="30"/>
          <w:lang w:eastAsia="zh-CN"/>
        </w:rPr>
        <w:t>（</w:t>
      </w:r>
      <w:r>
        <w:rPr>
          <w:rFonts w:hint="eastAsia" w:ascii="仿宋_GB2312" w:hAnsi="仿宋_GB2312" w:eastAsia="仿宋_GB2312" w:cs="仿宋_GB2312"/>
          <w:b/>
          <w:sz w:val="30"/>
          <w:szCs w:val="30"/>
          <w:lang w:val="en-US" w:eastAsia="zh-CN"/>
        </w:rPr>
        <w:t>电梯等</w:t>
      </w:r>
      <w:r>
        <w:rPr>
          <w:rFonts w:hint="eastAsia" w:ascii="仿宋_GB2312" w:hAnsi="仿宋_GB2312" w:eastAsia="仿宋_GB2312" w:cs="仿宋_GB2312"/>
          <w:b/>
          <w:sz w:val="30"/>
          <w:szCs w:val="30"/>
          <w:lang w:eastAsia="zh-CN"/>
        </w:rPr>
        <w:t>）</w:t>
      </w:r>
    </w:p>
    <w:p>
      <w:pPr>
        <w:pStyle w:val="5"/>
        <w:jc w:val="center"/>
        <w:rPr>
          <w:rFonts w:hint="default" w:ascii="仿宋_GB2312" w:hAnsi="仿宋_GB2312" w:eastAsia="仿宋_GB2312" w:cs="仿宋_GB2312"/>
          <w:b/>
          <w:sz w:val="30"/>
          <w:szCs w:val="30"/>
          <w:lang w:val="en-US" w:eastAsia="zh-CN"/>
        </w:rPr>
      </w:pPr>
      <w:r>
        <w:rPr>
          <w:rFonts w:hint="eastAsia" w:ascii="仿宋_GB2312" w:hAnsi="仿宋_GB2312" w:eastAsia="仿宋_GB2312" w:cs="仿宋_GB2312"/>
          <w:b/>
          <w:sz w:val="30"/>
          <w:szCs w:val="30"/>
          <w:lang w:val="en-US" w:eastAsia="zh-CN"/>
        </w:rPr>
        <w:t>采购包1：电梯</w:t>
      </w:r>
    </w:p>
    <w:p>
      <w:pPr>
        <w:widowControl w:val="0"/>
        <w:ind w:left="0" w:leftChars="0" w:firstLine="0" w:firstLineChars="0"/>
        <w:jc w:val="both"/>
        <w:rPr>
          <w:rFonts w:hint="eastAsia" w:ascii="仿宋" w:hAnsi="仿宋" w:eastAsia="仿宋" w:cs="仿宋"/>
          <w:color w:val="auto"/>
          <w:sz w:val="28"/>
          <w:szCs w:val="28"/>
          <w:lang w:val="en-US" w:eastAsia="zh-CN" w:bidi="ar-SA"/>
        </w:rPr>
      </w:pPr>
    </w:p>
    <w:p>
      <w:pPr>
        <w:pStyle w:val="2"/>
        <w:rPr>
          <w:rFonts w:hint="eastAsia"/>
          <w:lang w:val="en-US" w:eastAsia="zh-CN"/>
        </w:rPr>
      </w:pPr>
    </w:p>
    <w:p>
      <w:pPr>
        <w:pStyle w:val="7"/>
        <w:rPr>
          <w:rFonts w:hint="eastAsia" w:ascii="仿宋" w:hAnsi="仿宋" w:eastAsia="仿宋" w:cs="仿宋"/>
          <w:lang w:val="en-US" w:eastAsia="zh-CN"/>
        </w:rPr>
      </w:pPr>
    </w:p>
    <w:p>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中标单位(乙方) :                              </w:t>
      </w:r>
    </w:p>
    <w:p>
      <w:pPr>
        <w:pStyle w:val="7"/>
        <w:ind w:left="0" w:leftChars="0" w:firstLine="0" w:firstLineChars="0"/>
        <w:rPr>
          <w:rFonts w:hint="eastAsia" w:ascii="仿宋" w:hAnsi="仿宋" w:eastAsia="仿宋" w:cs="仿宋"/>
        </w:rPr>
      </w:pPr>
    </w:p>
    <w:p>
      <w:pPr>
        <w:pStyle w:val="8"/>
        <w:ind w:left="294" w:leftChars="0" w:hanging="294" w:hangingChars="105"/>
        <w:rPr>
          <w:rFonts w:hint="eastAsia"/>
        </w:rPr>
      </w:pPr>
    </w:p>
    <w:p>
      <w:pPr>
        <w:pStyle w:val="8"/>
        <w:ind w:left="294" w:leftChars="0" w:hanging="294" w:hangingChars="105"/>
        <w:rPr>
          <w:rFonts w:hint="eastAsia"/>
        </w:rPr>
      </w:pPr>
    </w:p>
    <w:p>
      <w:pPr>
        <w:pStyle w:val="8"/>
        <w:ind w:left="294" w:leftChars="0" w:hanging="294" w:hangingChars="105"/>
        <w:rPr>
          <w:rFonts w:hint="eastAsia"/>
        </w:rPr>
      </w:pPr>
    </w:p>
    <w:p>
      <w:pPr>
        <w:pStyle w:val="8"/>
        <w:ind w:left="294" w:leftChars="0" w:hanging="294" w:hangingChars="105"/>
        <w:rPr>
          <w:rFonts w:hint="eastAsia"/>
        </w:rPr>
      </w:pPr>
    </w:p>
    <w:p>
      <w:pPr>
        <w:bidi w:val="0"/>
        <w:rPr>
          <w:rFonts w:hint="eastAsia" w:ascii="仿宋" w:hAnsi="仿宋" w:eastAsia="仿宋" w:cs="仿宋"/>
          <w:color w:val="000000"/>
          <w:sz w:val="24"/>
        </w:rPr>
      </w:pP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r>
        <w:br w:type="page"/>
      </w:r>
    </w:p>
    <w:p>
      <w:pPr>
        <w:spacing w:line="360" w:lineRule="auto"/>
        <w:jc w:val="center"/>
        <w:rPr>
          <w:rFonts w:hint="eastAsia" w:ascii="仿宋_GB2312" w:eastAsia="仿宋_GB2312"/>
          <w:b/>
          <w:bCs w:val="0"/>
          <w:color w:val="auto"/>
          <w:kern w:val="44"/>
          <w:sz w:val="28"/>
          <w:szCs w:val="18"/>
          <w:highlight w:val="none"/>
        </w:rPr>
      </w:pPr>
      <w:r>
        <w:t xml:space="preserve"> </w:t>
      </w:r>
      <w:r>
        <w:rPr>
          <w:rFonts w:hint="eastAsia" w:ascii="宋体" w:hAnsi="宋体" w:eastAsia="宋体" w:cs="宋体"/>
          <w:b/>
          <w:bCs w:val="0"/>
          <w:color w:val="auto"/>
          <w:sz w:val="32"/>
          <w:szCs w:val="32"/>
          <w:highlight w:val="none"/>
          <w:lang w:val="en-US" w:eastAsia="zh-CN"/>
        </w:rPr>
        <w:t>采购合同</w:t>
      </w:r>
    </w:p>
    <w:p>
      <w:pPr>
        <w:tabs>
          <w:tab w:val="left" w:pos="735"/>
        </w:tabs>
        <w:autoSpaceDE w:val="0"/>
        <w:autoSpaceDN w:val="0"/>
        <w:adjustRightInd w:val="0"/>
        <w:snapToGrid w:val="0"/>
        <w:spacing w:line="360" w:lineRule="auto"/>
        <w:ind w:firstLine="631"/>
        <w:rPr>
          <w:rFonts w:hint="eastAsia" w:ascii="宋体" w:hAnsi="宋体" w:cs="宋体"/>
          <w:b/>
          <w:bCs/>
          <w:sz w:val="24"/>
          <w:szCs w:val="24"/>
          <w:lang w:val="zh-CN"/>
        </w:rPr>
      </w:pPr>
      <w:r>
        <w:rPr>
          <w:rFonts w:hint="eastAsia" w:ascii="宋体" w:hAnsi="宋体" w:cs="宋体"/>
          <w:b/>
          <w:bCs/>
          <w:sz w:val="24"/>
          <w:szCs w:val="24"/>
          <w:lang w:val="zh-CN"/>
        </w:rPr>
        <w:t>甲方：</w:t>
      </w:r>
      <w:r>
        <w:rPr>
          <w:rFonts w:hint="eastAsia" w:ascii="宋体" w:hAnsi="宋体" w:cs="宋体"/>
          <w:bCs/>
          <w:sz w:val="24"/>
          <w:szCs w:val="24"/>
          <w:lang w:val="zh-CN"/>
        </w:rPr>
        <w:t>（前款所称采购人）</w:t>
      </w:r>
    </w:p>
    <w:p>
      <w:pPr>
        <w:tabs>
          <w:tab w:val="left" w:pos="735"/>
        </w:tabs>
        <w:autoSpaceDE w:val="0"/>
        <w:autoSpaceDN w:val="0"/>
        <w:adjustRightInd w:val="0"/>
        <w:snapToGrid w:val="0"/>
        <w:spacing w:line="360" w:lineRule="auto"/>
        <w:ind w:firstLine="631"/>
        <w:rPr>
          <w:rFonts w:hint="eastAsia" w:ascii="宋体" w:hAnsi="宋体" w:cs="宋体"/>
          <w:bCs/>
          <w:sz w:val="24"/>
          <w:szCs w:val="24"/>
          <w:lang w:val="zh-CN"/>
        </w:rPr>
      </w:pPr>
      <w:r>
        <w:rPr>
          <w:rFonts w:hint="eastAsia" w:ascii="宋体" w:hAnsi="宋体" w:cs="宋体"/>
          <w:b/>
          <w:bCs/>
          <w:sz w:val="24"/>
          <w:szCs w:val="24"/>
          <w:lang w:val="zh-CN"/>
        </w:rPr>
        <w:t>乙方：</w:t>
      </w:r>
      <w:r>
        <w:rPr>
          <w:rFonts w:hint="eastAsia" w:ascii="宋体" w:hAnsi="宋体" w:cs="宋体"/>
          <w:bCs/>
          <w:sz w:val="24"/>
          <w:szCs w:val="24"/>
          <w:lang w:val="zh-CN"/>
        </w:rPr>
        <w:t>（前款所称中标单位）</w:t>
      </w:r>
    </w:p>
    <w:p>
      <w:pPr>
        <w:bidi w:val="0"/>
        <w:spacing w:line="360" w:lineRule="auto"/>
        <w:outlineLvl w:val="9"/>
        <w:rPr>
          <w:rFonts w:hint="default" w:ascii="宋体" w:hAnsi="宋体" w:eastAsia="宋体" w:cs="宋体"/>
          <w:sz w:val="24"/>
          <w:szCs w:val="24"/>
          <w:lang w:val="en-US" w:eastAsia="zh-CN"/>
        </w:rPr>
      </w:pPr>
      <w:bookmarkStart w:id="0" w:name="_Toc1896"/>
      <w:bookmarkStart w:id="1" w:name="_Toc31593"/>
      <w:r>
        <w:rPr>
          <w:rFonts w:hint="eastAsia" w:ascii="宋体" w:hAnsi="宋体" w:eastAsia="宋体" w:cs="宋体"/>
          <w:b/>
          <w:bCs/>
          <w:sz w:val="24"/>
          <w:szCs w:val="24"/>
          <w:lang w:val="zh-CN"/>
        </w:rPr>
        <w:t>一、合同内容</w:t>
      </w:r>
      <w:r>
        <w:rPr>
          <w:rFonts w:hint="eastAsia" w:ascii="宋体" w:hAnsi="宋体" w:eastAsia="宋体" w:cs="宋体"/>
          <w:sz w:val="24"/>
          <w:szCs w:val="24"/>
          <w:lang w:val="zh-CN"/>
        </w:rPr>
        <w:t>:</w:t>
      </w:r>
      <w:bookmarkEnd w:id="0"/>
      <w:bookmarkEnd w:id="1"/>
      <w:r>
        <w:rPr>
          <w:rFonts w:hint="eastAsia" w:ascii="宋体" w:hAnsi="宋体" w:eastAsia="宋体" w:cs="宋体"/>
          <w:sz w:val="24"/>
          <w:szCs w:val="24"/>
          <w:u w:val="single"/>
          <w:lang w:val="en-US" w:eastAsia="zh-CN"/>
        </w:rPr>
        <w:t xml:space="preserve">                    </w:t>
      </w:r>
    </w:p>
    <w:p>
      <w:pPr>
        <w:bidi w:val="0"/>
        <w:spacing w:line="360" w:lineRule="auto"/>
        <w:outlineLvl w:val="9"/>
        <w:rPr>
          <w:rFonts w:hint="default" w:ascii="宋体" w:hAnsi="宋体" w:eastAsia="宋体" w:cs="宋体"/>
          <w:sz w:val="24"/>
          <w:szCs w:val="24"/>
          <w:lang w:val="en-US" w:eastAsia="zh-CN"/>
        </w:rPr>
      </w:pPr>
      <w:bookmarkStart w:id="2" w:name="_Toc13753"/>
      <w:bookmarkStart w:id="3" w:name="_Toc16955"/>
      <w:r>
        <w:rPr>
          <w:rFonts w:hint="eastAsia" w:ascii="宋体" w:hAnsi="宋体" w:eastAsia="宋体" w:cs="宋体"/>
          <w:b/>
          <w:bCs/>
          <w:sz w:val="24"/>
          <w:szCs w:val="24"/>
          <w:lang w:val="zh-CN"/>
        </w:rPr>
        <w:t>二、合同价款</w:t>
      </w:r>
      <w:r>
        <w:rPr>
          <w:rFonts w:hint="eastAsia" w:ascii="宋体" w:hAnsi="宋体" w:eastAsia="宋体" w:cs="宋体"/>
          <w:sz w:val="24"/>
          <w:szCs w:val="24"/>
          <w:lang w:val="zh-CN"/>
        </w:rPr>
        <w:t>：</w:t>
      </w:r>
      <w:bookmarkEnd w:id="2"/>
      <w:bookmarkEnd w:id="3"/>
      <w:r>
        <w:rPr>
          <w:rFonts w:hint="eastAsia" w:ascii="宋体" w:hAnsi="宋体" w:eastAsia="宋体" w:cs="宋体"/>
          <w:sz w:val="24"/>
          <w:szCs w:val="24"/>
          <w:u w:val="single"/>
          <w:lang w:val="en-US" w:eastAsia="zh-CN"/>
        </w:rPr>
        <w:t xml:space="preserve">                   </w:t>
      </w:r>
    </w:p>
    <w:p>
      <w:pPr>
        <w:bidi w:val="0"/>
        <w:spacing w:line="360" w:lineRule="auto"/>
        <w:ind w:firstLine="480" w:firstLineChars="200"/>
        <w:outlineLvl w:val="9"/>
        <w:rPr>
          <w:rFonts w:hint="default" w:ascii="宋体" w:hAnsi="宋体" w:eastAsia="宋体" w:cs="宋体"/>
          <w:sz w:val="24"/>
          <w:szCs w:val="24"/>
          <w:lang w:val="en-US" w:eastAsia="zh-CN"/>
        </w:rPr>
      </w:pPr>
      <w:r>
        <w:rPr>
          <w:rFonts w:hint="eastAsia" w:ascii="宋体" w:hAnsi="宋体" w:cs="宋体"/>
          <w:sz w:val="24"/>
          <w:szCs w:val="24"/>
        </w:rPr>
        <w:t>1、合同总价：</w:t>
      </w:r>
      <w:r>
        <w:rPr>
          <w:rFonts w:hint="eastAsia" w:ascii="宋体" w:hAnsi="宋体" w:cs="宋体"/>
          <w:sz w:val="24"/>
          <w:szCs w:val="24"/>
          <w:u w:val="single"/>
          <w:lang w:val="en-US" w:eastAsia="zh-CN"/>
        </w:rPr>
        <w:t xml:space="preserve">               </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2、合同总价：包括新设备制造费、保管费、运杂费、装卸费、保险费、管理费、安装调试费、培训费、税金及其它相关的一切费用。</w:t>
      </w:r>
    </w:p>
    <w:p>
      <w:pPr>
        <w:tabs>
          <w:tab w:val="left" w:pos="735"/>
        </w:tabs>
        <w:adjustRightInd w:val="0"/>
        <w:snapToGrid w:val="0"/>
        <w:spacing w:line="360" w:lineRule="auto"/>
        <w:ind w:firstLine="504" w:firstLineChars="210"/>
        <w:rPr>
          <w:rFonts w:hint="eastAsia" w:ascii="宋体" w:hAnsi="宋体" w:cs="宋体"/>
          <w:sz w:val="24"/>
          <w:szCs w:val="24"/>
        </w:rPr>
      </w:pPr>
      <w:r>
        <w:rPr>
          <w:rFonts w:hint="eastAsia" w:ascii="宋体" w:hAnsi="宋体" w:cs="宋体"/>
          <w:sz w:val="24"/>
          <w:szCs w:val="24"/>
        </w:rPr>
        <w:t>3、合同总价一次包死，不受市场价变化的影响。</w:t>
      </w:r>
    </w:p>
    <w:p>
      <w:pPr>
        <w:pStyle w:val="3"/>
        <w:bidi w:val="0"/>
        <w:spacing w:line="240" w:lineRule="auto"/>
        <w:jc w:val="both"/>
        <w:rPr>
          <w:rFonts w:hint="eastAsia" w:ascii="宋体" w:hAnsi="宋体" w:eastAsia="宋体" w:cs="宋体"/>
          <w:sz w:val="24"/>
          <w:szCs w:val="24"/>
          <w:lang w:val="zh-CN"/>
        </w:rPr>
      </w:pPr>
      <w:bookmarkStart w:id="4" w:name="_Toc18956"/>
      <w:bookmarkStart w:id="5" w:name="_Toc13431"/>
      <w:bookmarkStart w:id="6" w:name="_Toc27355"/>
      <w:r>
        <w:rPr>
          <w:rFonts w:hint="eastAsia" w:ascii="宋体" w:hAnsi="宋体" w:eastAsia="宋体" w:cs="宋体"/>
          <w:sz w:val="24"/>
          <w:szCs w:val="24"/>
          <w:lang w:val="zh-CN"/>
        </w:rPr>
        <w:t>三、合同结算：</w:t>
      </w:r>
      <w:bookmarkEnd w:id="4"/>
      <w:bookmarkEnd w:id="5"/>
      <w:bookmarkEnd w:id="6"/>
    </w:p>
    <w:p>
      <w:pPr>
        <w:autoSpaceDE w:val="0"/>
        <w:autoSpaceDN w:val="0"/>
        <w:adjustRightInd w:val="0"/>
        <w:snapToGrid w:val="0"/>
        <w:spacing w:line="360" w:lineRule="auto"/>
        <w:ind w:firstLine="646"/>
        <w:rPr>
          <w:rFonts w:hint="eastAsia" w:ascii="宋体" w:hAnsi="宋体" w:cs="宋体"/>
          <w:color w:val="000000"/>
          <w:sz w:val="24"/>
          <w:szCs w:val="24"/>
          <w:highlight w:val="none"/>
        </w:rPr>
      </w:pPr>
      <w:r>
        <w:rPr>
          <w:rFonts w:hint="eastAsia" w:ascii="宋体" w:hAnsi="宋体" w:cs="宋体"/>
          <w:color w:val="000000"/>
          <w:sz w:val="24"/>
          <w:szCs w:val="24"/>
          <w:highlight w:val="none"/>
        </w:rPr>
        <w:t>1、付款比例：</w:t>
      </w:r>
    </w:p>
    <w:p>
      <w:pPr>
        <w:autoSpaceDE w:val="0"/>
        <w:autoSpaceDN w:val="0"/>
        <w:adjustRightInd w:val="0"/>
        <w:snapToGrid w:val="0"/>
        <w:spacing w:line="360" w:lineRule="auto"/>
        <w:ind w:firstLine="645"/>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合同签订后采购人7日内支付合同价款40%的预付款，到货后5日内付至合同价款50%，在所有货物安装到位经采购单位组织验收合格之日起10日内支付剩余款项。</w:t>
      </w:r>
    </w:p>
    <w:p>
      <w:pPr>
        <w:autoSpaceDE w:val="0"/>
        <w:autoSpaceDN w:val="0"/>
        <w:adjustRightInd w:val="0"/>
        <w:snapToGrid w:val="0"/>
        <w:spacing w:line="360" w:lineRule="auto"/>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2、结算方式：由采购双方签订合同时具体约定。</w:t>
      </w:r>
    </w:p>
    <w:p>
      <w:pPr>
        <w:autoSpaceDE w:val="0"/>
        <w:autoSpaceDN w:val="0"/>
        <w:adjustRightInd w:val="0"/>
        <w:snapToGrid w:val="0"/>
        <w:spacing w:line="240" w:lineRule="auto"/>
        <w:ind w:firstLine="645"/>
        <w:rPr>
          <w:rFonts w:hint="eastAsia" w:ascii="宋体" w:hAnsi="宋体" w:cs="宋体"/>
          <w:color w:val="FF0000"/>
          <w:sz w:val="24"/>
          <w:szCs w:val="24"/>
          <w:highlight w:val="none"/>
        </w:rPr>
      </w:pPr>
      <w:r>
        <w:rPr>
          <w:rFonts w:hint="eastAsia" w:ascii="宋体" w:hAnsi="宋体" w:cs="宋体"/>
          <w:color w:val="000000"/>
          <w:sz w:val="24"/>
          <w:szCs w:val="24"/>
          <w:highlight w:val="none"/>
        </w:rPr>
        <w:t>3、结算单位：由</w:t>
      </w:r>
      <w:r>
        <w:rPr>
          <w:rFonts w:hint="eastAsia" w:ascii="宋体" w:hAnsi="宋体" w:cs="宋体"/>
          <w:color w:val="000000"/>
          <w:sz w:val="24"/>
          <w:szCs w:val="24"/>
          <w:highlight w:val="none"/>
          <w:u w:val="single"/>
        </w:rPr>
        <w:t>甲方</w:t>
      </w:r>
      <w:r>
        <w:rPr>
          <w:rFonts w:hint="eastAsia" w:ascii="宋体" w:hAnsi="宋体" w:cs="宋体"/>
          <w:color w:val="000000"/>
          <w:sz w:val="24"/>
          <w:szCs w:val="24"/>
          <w:highlight w:val="none"/>
        </w:rPr>
        <w:t>负责结算，乙方开具</w:t>
      </w:r>
      <w:r>
        <w:rPr>
          <w:rFonts w:hint="eastAsia" w:ascii="宋体" w:hAnsi="宋体" w:cs="宋体"/>
          <w:color w:val="000000"/>
          <w:sz w:val="24"/>
          <w:szCs w:val="24"/>
          <w:highlight w:val="none"/>
          <w:lang w:val="en-US" w:eastAsia="zh-CN"/>
        </w:rPr>
        <w:t>付款金额的</w:t>
      </w:r>
      <w:r>
        <w:rPr>
          <w:rFonts w:hint="eastAsia" w:ascii="宋体" w:hAnsi="宋体" w:cs="宋体"/>
          <w:color w:val="000000"/>
          <w:sz w:val="24"/>
          <w:szCs w:val="24"/>
          <w:highlight w:val="none"/>
        </w:rPr>
        <w:t>发票交采购人。</w:t>
      </w:r>
    </w:p>
    <w:p>
      <w:pPr>
        <w:pStyle w:val="3"/>
        <w:bidi w:val="0"/>
        <w:spacing w:line="240" w:lineRule="auto"/>
        <w:jc w:val="both"/>
        <w:rPr>
          <w:rFonts w:hint="eastAsia" w:ascii="宋体" w:hAnsi="宋体" w:eastAsia="宋体" w:cs="宋体"/>
          <w:sz w:val="24"/>
          <w:szCs w:val="24"/>
          <w:highlight w:val="none"/>
          <w:lang w:val="zh-CN"/>
        </w:rPr>
      </w:pPr>
      <w:bookmarkStart w:id="7" w:name="_Toc22900"/>
      <w:bookmarkStart w:id="8" w:name="_Toc7536"/>
      <w:bookmarkStart w:id="9" w:name="_Toc3546"/>
      <w:r>
        <w:rPr>
          <w:rFonts w:hint="eastAsia" w:ascii="宋体" w:hAnsi="宋体" w:eastAsia="宋体" w:cs="宋体"/>
          <w:sz w:val="24"/>
          <w:szCs w:val="24"/>
          <w:highlight w:val="none"/>
          <w:lang w:val="zh-CN"/>
        </w:rPr>
        <w:t>四、交货条件:</w:t>
      </w:r>
      <w:bookmarkEnd w:id="7"/>
      <w:bookmarkEnd w:id="8"/>
      <w:bookmarkEnd w:id="9"/>
    </w:p>
    <w:p>
      <w:pPr>
        <w:tabs>
          <w:tab w:val="left" w:pos="735"/>
        </w:tabs>
        <w:autoSpaceDE w:val="0"/>
        <w:autoSpaceDN w:val="0"/>
        <w:adjustRightInd w:val="0"/>
        <w:snapToGrid w:val="0"/>
        <w:spacing w:line="360" w:lineRule="auto"/>
        <w:ind w:firstLine="631"/>
        <w:rPr>
          <w:rFonts w:hint="eastAsia" w:ascii="宋体" w:hAnsi="宋体" w:cs="宋体"/>
          <w:bCs/>
          <w:sz w:val="24"/>
          <w:szCs w:val="24"/>
          <w:highlight w:val="none"/>
          <w:lang w:val="zh-CN"/>
        </w:rPr>
      </w:pPr>
      <w:r>
        <w:rPr>
          <w:rFonts w:hint="eastAsia" w:ascii="宋体" w:hAnsi="宋体" w:cs="宋体"/>
          <w:bCs/>
          <w:sz w:val="24"/>
          <w:szCs w:val="24"/>
          <w:highlight w:val="none"/>
          <w:lang w:val="zh-CN"/>
        </w:rPr>
        <w:t>1、交货地点：甲方指定地点</w:t>
      </w:r>
    </w:p>
    <w:p>
      <w:pPr>
        <w:autoSpaceDE w:val="0"/>
        <w:autoSpaceDN w:val="0"/>
        <w:adjustRightInd w:val="0"/>
        <w:snapToGrid w:val="0"/>
        <w:spacing w:line="240" w:lineRule="auto"/>
        <w:ind w:firstLine="645"/>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2、交货期</w:t>
      </w:r>
      <w:r>
        <w:rPr>
          <w:rFonts w:hint="eastAsia" w:ascii="宋体" w:hAnsi="宋体" w:cs="宋体"/>
          <w:color w:val="auto"/>
          <w:sz w:val="24"/>
          <w:szCs w:val="24"/>
          <w:highlight w:val="none"/>
          <w:lang w:val="en-US" w:eastAsia="zh-CN"/>
        </w:rPr>
        <w:t>及工期</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lang w:val="zh-CN" w:eastAsia="zh-CN"/>
        </w:rPr>
        <w:t>自合同签订之日起30日历天</w:t>
      </w:r>
      <w:r>
        <w:rPr>
          <w:rFonts w:hint="eastAsia" w:ascii="宋体" w:hAnsi="宋体" w:cs="宋体"/>
          <w:color w:val="auto"/>
          <w:sz w:val="24"/>
          <w:szCs w:val="24"/>
          <w:highlight w:val="none"/>
          <w:lang w:val="en-US" w:eastAsia="zh-CN"/>
        </w:rPr>
        <w:t>。</w:t>
      </w:r>
    </w:p>
    <w:p>
      <w:pPr>
        <w:pStyle w:val="3"/>
        <w:bidi w:val="0"/>
        <w:spacing w:line="240" w:lineRule="auto"/>
        <w:jc w:val="both"/>
        <w:rPr>
          <w:rFonts w:hint="eastAsia" w:ascii="宋体" w:hAnsi="宋体" w:eastAsia="宋体" w:cs="宋体"/>
          <w:b w:val="0"/>
          <w:bCs/>
          <w:kern w:val="2"/>
          <w:sz w:val="24"/>
          <w:szCs w:val="24"/>
          <w:highlight w:val="none"/>
          <w:lang w:val="zh-CN" w:eastAsia="zh-CN" w:bidi="ar-SA"/>
        </w:rPr>
      </w:pPr>
      <w:bookmarkStart w:id="10" w:name="_Toc1926"/>
      <w:bookmarkStart w:id="11" w:name="_Toc9437"/>
      <w:bookmarkStart w:id="12" w:name="_Toc16710"/>
      <w:r>
        <w:rPr>
          <w:rFonts w:hint="eastAsia" w:ascii="宋体" w:hAnsi="宋体" w:eastAsia="宋体" w:cs="宋体"/>
          <w:sz w:val="24"/>
          <w:szCs w:val="24"/>
          <w:highlight w:val="none"/>
          <w:lang w:val="zh-CN"/>
        </w:rPr>
        <w:t>五、运输：</w:t>
      </w:r>
      <w:bookmarkEnd w:id="10"/>
      <w:bookmarkEnd w:id="11"/>
      <w:bookmarkEnd w:id="12"/>
    </w:p>
    <w:p>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1、乙方负责所有货物的运输。确保货物安全、完整到达使用地点，运杂费用包含在总价内，包括货物从供货地点到使用地点的运输费、保险费、搬运费等。</w:t>
      </w:r>
    </w:p>
    <w:p>
      <w:pPr>
        <w:adjustRightInd w:val="0"/>
        <w:snapToGrid w:val="0"/>
        <w:spacing w:line="360" w:lineRule="auto"/>
        <w:ind w:firstLine="645"/>
        <w:rPr>
          <w:rFonts w:hint="eastAsia" w:ascii="宋体" w:hAnsi="宋体" w:cs="宋体"/>
          <w:sz w:val="24"/>
          <w:szCs w:val="24"/>
        </w:rPr>
      </w:pPr>
      <w:r>
        <w:rPr>
          <w:rFonts w:hint="eastAsia" w:ascii="宋体" w:hAnsi="宋体" w:cs="宋体"/>
          <w:color w:val="000000"/>
          <w:sz w:val="24"/>
          <w:szCs w:val="24"/>
        </w:rPr>
        <w:t>2、所有货物在运输、搬运、安装、拆除、改造的过程中，造成甲方损失的，由乙方为甲方修复或更新。</w:t>
      </w:r>
    </w:p>
    <w:p>
      <w:pPr>
        <w:pStyle w:val="3"/>
        <w:bidi w:val="0"/>
        <w:spacing w:line="240" w:lineRule="auto"/>
        <w:jc w:val="both"/>
        <w:rPr>
          <w:rFonts w:hint="eastAsia" w:ascii="宋体" w:hAnsi="宋体" w:eastAsia="宋体" w:cs="宋体"/>
          <w:sz w:val="24"/>
          <w:szCs w:val="24"/>
          <w:lang w:val="zh-CN"/>
        </w:rPr>
      </w:pPr>
      <w:bookmarkStart w:id="13" w:name="_Toc7164"/>
      <w:bookmarkStart w:id="14" w:name="_Toc25630"/>
      <w:bookmarkStart w:id="15" w:name="_Toc31476"/>
      <w:r>
        <w:rPr>
          <w:rFonts w:hint="eastAsia" w:ascii="宋体" w:hAnsi="宋体" w:eastAsia="宋体" w:cs="宋体"/>
          <w:sz w:val="24"/>
          <w:szCs w:val="24"/>
          <w:lang w:val="zh-CN"/>
        </w:rPr>
        <w:t>六、质量保证：</w:t>
      </w:r>
      <w:bookmarkEnd w:id="13"/>
      <w:bookmarkEnd w:id="14"/>
      <w:bookmarkEnd w:id="15"/>
    </w:p>
    <w:p>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1、乙方提供货物必须是原品牌制造厂制造的最新工艺、生产的最新产品。</w:t>
      </w:r>
    </w:p>
    <w:p>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2、所供货物必须是经过办理正常手续的全新产品。</w:t>
      </w:r>
    </w:p>
    <w:p>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3、所供货物是经过国家法定检验、注册、准许市场销售的合法产品。</w:t>
      </w:r>
    </w:p>
    <w:p>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4、货物性能稳定、具有较好的使用效果，质量保证措施完善，符合国家相关标准。</w:t>
      </w:r>
    </w:p>
    <w:p>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highlight w:val="none"/>
        </w:rPr>
        <w:t>5、</w:t>
      </w:r>
      <w:r>
        <w:rPr>
          <w:rFonts w:hint="eastAsia" w:cs="Times New Roman"/>
          <w:kern w:val="2"/>
          <w:sz w:val="24"/>
          <w:szCs w:val="24"/>
          <w:highlight w:val="none"/>
          <w:lang w:val="zh-CN" w:eastAsia="zh-CN" w:bidi="ar-SA"/>
        </w:rPr>
        <w:t>质保期为验收合格</w:t>
      </w:r>
      <w:r>
        <w:rPr>
          <w:rFonts w:hint="eastAsia" w:ascii="宋体" w:hAnsi="宋体" w:eastAsia="宋体" w:cs="宋体"/>
          <w:kern w:val="2"/>
          <w:sz w:val="24"/>
          <w:szCs w:val="24"/>
          <w:highlight w:val="none"/>
          <w:lang w:val="zh-CN" w:eastAsia="zh-CN" w:bidi="ar-SA"/>
        </w:rPr>
        <w:t>后</w:t>
      </w:r>
      <w:r>
        <w:rPr>
          <w:rFonts w:hint="eastAsia" w:ascii="宋体" w:hAnsi="宋体" w:eastAsia="宋体" w:cs="宋体"/>
          <w:kern w:val="2"/>
          <w:sz w:val="24"/>
          <w:szCs w:val="24"/>
          <w:highlight w:val="none"/>
          <w:u w:val="single"/>
          <w:lang w:val="en-US" w:eastAsia="zh-CN" w:bidi="ar-SA"/>
        </w:rPr>
        <w:t xml:space="preserve"> 2 </w:t>
      </w:r>
      <w:r>
        <w:rPr>
          <w:rFonts w:hint="eastAsia" w:ascii="宋体" w:hAnsi="宋体" w:eastAsia="宋体" w:cs="宋体"/>
          <w:kern w:val="2"/>
          <w:sz w:val="24"/>
          <w:szCs w:val="24"/>
          <w:highlight w:val="none"/>
          <w:lang w:val="en-US" w:eastAsia="zh-CN" w:bidi="ar-SA"/>
        </w:rPr>
        <w:t>年</w:t>
      </w:r>
      <w:r>
        <w:rPr>
          <w:rFonts w:hint="eastAsia" w:ascii="宋体" w:hAnsi="宋体" w:cs="宋体"/>
          <w:sz w:val="24"/>
          <w:szCs w:val="24"/>
          <w:highlight w:val="none"/>
        </w:rPr>
        <w:t>，质</w:t>
      </w:r>
      <w:r>
        <w:rPr>
          <w:rFonts w:hint="eastAsia" w:ascii="宋体" w:hAnsi="宋体" w:cs="宋体"/>
          <w:sz w:val="24"/>
          <w:szCs w:val="24"/>
        </w:rPr>
        <w:t>保期内维保标准不得低于国家标准及相关规定。</w:t>
      </w:r>
    </w:p>
    <w:p>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rPr>
        <w:t>6、包装要求</w:t>
      </w:r>
    </w:p>
    <w:p>
      <w:pPr>
        <w:adjustRightInd w:val="0"/>
        <w:snapToGrid w:val="0"/>
        <w:spacing w:line="360" w:lineRule="auto"/>
        <w:ind w:firstLine="645"/>
        <w:rPr>
          <w:rFonts w:hint="eastAsia" w:ascii="宋体" w:hAnsi="宋体" w:cs="宋体"/>
          <w:sz w:val="24"/>
          <w:szCs w:val="24"/>
        </w:rPr>
      </w:pPr>
      <w:r>
        <w:rPr>
          <w:rFonts w:hint="eastAsia" w:ascii="宋体" w:hAnsi="宋体" w:cs="宋体"/>
          <w:color w:val="000000"/>
          <w:sz w:val="24"/>
          <w:szCs w:val="24"/>
        </w:rPr>
        <w:t>6-1、除合同另有规定外，乙方提供的全部货物，均应按标准保护措施进行包装，并确保货物安全</w:t>
      </w:r>
      <w:r>
        <w:rPr>
          <w:rFonts w:hint="eastAsia" w:ascii="宋体" w:hAnsi="宋体" w:cs="宋体"/>
          <w:sz w:val="24"/>
          <w:szCs w:val="24"/>
        </w:rPr>
        <w:t>无损运抵甲方指定地点。</w:t>
      </w:r>
    </w:p>
    <w:p>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rPr>
        <w:t>6-2、每一个包装箱内应附一份详细装箱单和质量合格证。</w:t>
      </w:r>
    </w:p>
    <w:p>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rPr>
        <w:t>7、知识产权：乙方应保证甲方在使用该货物或其任何一部分时免受第三方提出侵犯其专利权、商标权或工业设计权的起诉。</w:t>
      </w:r>
    </w:p>
    <w:p>
      <w:pPr>
        <w:pStyle w:val="3"/>
        <w:bidi w:val="0"/>
        <w:spacing w:line="240" w:lineRule="auto"/>
        <w:jc w:val="both"/>
        <w:rPr>
          <w:rFonts w:hint="eastAsia" w:ascii="宋体" w:hAnsi="宋体" w:eastAsia="宋体" w:cs="宋体"/>
          <w:sz w:val="24"/>
          <w:szCs w:val="24"/>
          <w:lang w:val="zh-CN"/>
        </w:rPr>
      </w:pPr>
      <w:bookmarkStart w:id="16" w:name="_Toc26330"/>
      <w:bookmarkStart w:id="17" w:name="_Toc20761"/>
      <w:bookmarkStart w:id="18" w:name="_Toc5769"/>
      <w:r>
        <w:rPr>
          <w:rFonts w:hint="eastAsia" w:ascii="宋体" w:hAnsi="宋体" w:eastAsia="宋体" w:cs="宋体"/>
          <w:sz w:val="24"/>
          <w:szCs w:val="24"/>
          <w:lang w:val="zh-CN"/>
        </w:rPr>
        <w:t>七、技术服务：</w:t>
      </w:r>
      <w:bookmarkEnd w:id="16"/>
      <w:bookmarkEnd w:id="17"/>
      <w:bookmarkEnd w:id="18"/>
    </w:p>
    <w:p>
      <w:pPr>
        <w:snapToGrid w:val="0"/>
        <w:spacing w:line="360" w:lineRule="auto"/>
        <w:ind w:firstLine="482" w:firstLineChars="201"/>
        <w:rPr>
          <w:rFonts w:hint="eastAsia" w:ascii="宋体" w:hAnsi="宋体" w:cs="宋体"/>
          <w:sz w:val="24"/>
          <w:szCs w:val="24"/>
        </w:rPr>
      </w:pPr>
      <w:r>
        <w:rPr>
          <w:rFonts w:hint="eastAsia" w:ascii="宋体" w:hAnsi="宋体" w:cs="宋体"/>
          <w:sz w:val="24"/>
          <w:szCs w:val="24"/>
        </w:rPr>
        <w:t>1、对技术服务的要求：乙方应随同货物提供相应的中文技术文件(包括产品合格证、装箱、清单、操作手册、使用说明。检测报告、维护手册、服务指南等资料)，现场安装、调试、试运行技术保障服务。</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2、技术资料：</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2-1、产品合格证及检验报告；</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2-2、产品使用说明书（中文）；</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2-3、其他技术资料。</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3、售后服务</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3-1、质保期内维保标准不得低于国家标准及相关规定。</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3-2、如果乙方在收到通知后2天内没有弥补缺陷，甲方可采取必要的补救措施，但其风险和费用将由乙方承担，甲方根据合同规定对乙方行使的其它权力不受影响。甲方亦可从合同价款中扣回索赔金额。</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4、伴随服务</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4-1、乙方应提供相应的中文的技术文件。</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4-2、必须的其它技术资料。</w:t>
      </w:r>
    </w:p>
    <w:p>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4-3、伴随服务的费用已含在合同价中，不单独进行支付。</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、售后服务</w:t>
      </w:r>
    </w:p>
    <w:p>
      <w:pPr>
        <w:spacing w:line="360" w:lineRule="auto"/>
        <w:ind w:firstLine="357" w:firstLineChars="149"/>
        <w:rPr>
          <w:rFonts w:hint="eastAsia" w:ascii="宋体" w:hAnsi="宋体" w:eastAsia="宋体" w:cs="宋体"/>
          <w:sz w:val="24"/>
        </w:rPr>
      </w:pPr>
      <w:r>
        <w:rPr>
          <w:rFonts w:hint="eastAsia" w:ascii="宋体" w:hAnsi="宋体" w:eastAsia="宋体" w:cs="宋体"/>
          <w:sz w:val="24"/>
        </w:rPr>
        <w:t>（1）乙方须指派专人负责与采购人联系售后服务事宜；   </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（2）货物（产品）的现场安装、调试和启动监督；</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4</w:t>
      </w:r>
      <w:r>
        <w:rPr>
          <w:rFonts w:hint="eastAsia" w:ascii="宋体" w:hAnsi="宋体" w:eastAsia="宋体" w:cs="宋体"/>
          <w:kern w:val="0"/>
          <w:sz w:val="24"/>
        </w:rPr>
        <w:t>）质保期内，成交供应商负责对其提供的货物整机进行维修和系统维护，不再收取任何费用，但不可抗力（如火灾、雷击等）造成的故障除外；</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5</w:t>
      </w:r>
      <w:r>
        <w:rPr>
          <w:rFonts w:hint="eastAsia" w:ascii="宋体" w:hAnsi="宋体" w:eastAsia="宋体" w:cs="宋体"/>
          <w:kern w:val="0"/>
          <w:sz w:val="24"/>
        </w:rPr>
        <w:t>）货物故障报修的响应时间为：工作期间（星期一至星期五8：00-18：00）为</w:t>
      </w:r>
      <w:r>
        <w:rPr>
          <w:rFonts w:hint="eastAsia" w:ascii="宋体" w:hAnsi="宋体" w:eastAsia="宋体" w:cs="宋体"/>
          <w:kern w:val="0"/>
          <w:sz w:val="24"/>
          <w:u w:val="single"/>
        </w:rPr>
        <w:t xml:space="preserve"> 2</w:t>
      </w:r>
      <w:r>
        <w:rPr>
          <w:rFonts w:hint="eastAsia" w:ascii="宋体" w:hAnsi="宋体" w:eastAsia="宋体" w:cs="宋体"/>
          <w:kern w:val="0"/>
          <w:sz w:val="24"/>
        </w:rPr>
        <w:t>小时；非工作期间为</w:t>
      </w:r>
      <w:r>
        <w:rPr>
          <w:rFonts w:hint="eastAsia" w:ascii="宋体" w:hAnsi="宋体" w:eastAsia="宋体" w:cs="宋体"/>
          <w:kern w:val="0"/>
          <w:sz w:val="24"/>
          <w:u w:val="single"/>
        </w:rPr>
        <w:t xml:space="preserve"> 4 </w:t>
      </w:r>
      <w:r>
        <w:rPr>
          <w:rFonts w:hint="eastAsia" w:ascii="宋体" w:hAnsi="宋体" w:eastAsia="宋体" w:cs="宋体"/>
          <w:kern w:val="0"/>
          <w:sz w:val="24"/>
        </w:rPr>
        <w:t>小时；</w:t>
      </w:r>
    </w:p>
    <w:p>
      <w:pPr>
        <w:widowControl/>
        <w:spacing w:line="360" w:lineRule="auto"/>
        <w:ind w:firstLine="360" w:firstLineChars="150"/>
        <w:jc w:val="left"/>
        <w:rPr>
          <w:rFonts w:hint="eastAsia" w:ascii="宋体" w:hAnsi="宋体" w:eastAsia="宋体" w:cs="宋体"/>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6</w:t>
      </w:r>
      <w:r>
        <w:rPr>
          <w:rFonts w:hint="eastAsia" w:ascii="宋体" w:hAnsi="宋体" w:eastAsia="宋体" w:cs="宋体"/>
          <w:kern w:val="0"/>
          <w:sz w:val="24"/>
        </w:rPr>
        <w:t>）成交供应商在接到采购人通知后须</w:t>
      </w:r>
      <w:r>
        <w:rPr>
          <w:rFonts w:hint="eastAsia" w:ascii="宋体" w:hAnsi="宋体" w:eastAsia="宋体" w:cs="宋体"/>
          <w:sz w:val="24"/>
          <w:u w:val="single"/>
        </w:rPr>
        <w:t>24</w:t>
      </w:r>
      <w:r>
        <w:rPr>
          <w:rFonts w:hint="eastAsia" w:ascii="宋体" w:hAnsi="宋体" w:eastAsia="宋体" w:cs="宋体"/>
          <w:sz w:val="24"/>
        </w:rPr>
        <w:t>小时内完成维修或更换，并承担修理或更换的费用；</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sz w:val="24"/>
        </w:rPr>
        <w:t>（</w:t>
      </w:r>
      <w:r>
        <w:rPr>
          <w:rFonts w:hint="eastAsia" w:ascii="宋体" w:hAnsi="宋体" w:eastAsia="宋体" w:cs="宋体"/>
          <w:sz w:val="24"/>
          <w:lang w:val="en-US" w:eastAsia="zh-CN"/>
        </w:rPr>
        <w:t>7</w:t>
      </w:r>
      <w:r>
        <w:rPr>
          <w:rFonts w:hint="eastAsia" w:ascii="宋体" w:hAnsi="宋体" w:eastAsia="宋体" w:cs="宋体"/>
          <w:sz w:val="24"/>
        </w:rPr>
        <w:t>）</w:t>
      </w:r>
      <w:r>
        <w:rPr>
          <w:rFonts w:hint="eastAsia" w:ascii="宋体" w:hAnsi="宋体" w:eastAsia="宋体" w:cs="宋体"/>
          <w:kern w:val="0"/>
          <w:sz w:val="24"/>
        </w:rPr>
        <w:t>所有货物服务方式均为成交供应商上门服务，即由成交供应商派员到货物使用现场维修，由此产生的一切费用均由成交供应商承担；</w:t>
      </w:r>
    </w:p>
    <w:p>
      <w:pPr>
        <w:pStyle w:val="3"/>
        <w:bidi w:val="0"/>
        <w:spacing w:line="240" w:lineRule="auto"/>
        <w:jc w:val="both"/>
        <w:rPr>
          <w:rFonts w:hint="eastAsia" w:ascii="宋体" w:hAnsi="宋体" w:eastAsia="宋体" w:cs="宋体"/>
          <w:sz w:val="24"/>
          <w:szCs w:val="24"/>
          <w:lang w:val="zh-CN"/>
        </w:rPr>
      </w:pPr>
      <w:bookmarkStart w:id="19" w:name="_Toc13698"/>
      <w:bookmarkStart w:id="20" w:name="_Toc349"/>
      <w:bookmarkStart w:id="21" w:name="_Toc28234"/>
      <w:r>
        <w:rPr>
          <w:rFonts w:hint="eastAsia" w:ascii="宋体" w:hAnsi="宋体" w:eastAsia="宋体" w:cs="宋体"/>
          <w:sz w:val="24"/>
          <w:szCs w:val="24"/>
          <w:lang w:val="zh-CN"/>
        </w:rPr>
        <w:t>八、验收：</w:t>
      </w:r>
      <w:bookmarkEnd w:id="19"/>
      <w:bookmarkEnd w:id="20"/>
      <w:bookmarkEnd w:id="21"/>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（一）验收依据</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1、招标文件、投标文件、澄清表（函）；</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2、国家相应的标准、规范。</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3、中标供应商货物经过双方检验认可后，签署验收报告，产品保修期自验收合格之日起算，由中标人提供产品保修文件，当满足以下条件时，采购人才向中标人签发货物验收报告：</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（1）中标供应商已按照合同规定提供了全部产品及完整的技术资料。</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（2）货物符合招标文件和投标文件技术规格要求，性能满足要求。</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（3）货物具备产品合格证。</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（二）验收条件</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（1）验收分初次到货验收和采购人最终验收两个阶段，以最终验收为准。</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货物到货后，采购人、中标人双方共同开箱验收。在检查货物原产地、品牌、型号、规格、制造商、配置符合合同要求后，由中标人负责安装调试、采购人使用单位负责技术指标验收（中标人协助），验收以国内行业标准或合同文本货物供货配置清单中描述的有关技术要求为准。</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（三）采购人负责组织最终验收。</w:t>
      </w:r>
    </w:p>
    <w:p>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通过检验的货物方可进行安装、调试、达到使用条件时由采购单位负责组织验收，</w:t>
      </w:r>
      <w:bookmarkStart w:id="22" w:name="_Toc17276"/>
      <w:bookmarkStart w:id="23" w:name="_Toc23939"/>
      <w:r>
        <w:rPr>
          <w:rFonts w:hint="eastAsia" w:ascii="宋体" w:hAnsi="宋体" w:eastAsia="宋体" w:cs="宋体"/>
          <w:sz w:val="24"/>
          <w:szCs w:val="24"/>
          <w:lang w:val="en-US" w:eastAsia="zh-CN"/>
        </w:rPr>
        <w:t>或者邀请有关专家共同进行验收,验收费用由中标单位支付；验收合格须交接项目实施的全部资料。</w:t>
      </w:r>
    </w:p>
    <w:p>
      <w:pPr>
        <w:pStyle w:val="3"/>
        <w:bidi w:val="0"/>
        <w:spacing w:line="240" w:lineRule="auto"/>
        <w:jc w:val="both"/>
        <w:rPr>
          <w:rFonts w:hint="eastAsia" w:ascii="宋体" w:hAnsi="宋体" w:eastAsia="宋体" w:cs="宋体"/>
          <w:sz w:val="24"/>
          <w:szCs w:val="24"/>
          <w:lang w:val="zh-CN"/>
        </w:rPr>
      </w:pPr>
      <w:bookmarkStart w:id="24" w:name="_Toc474"/>
      <w:r>
        <w:rPr>
          <w:rFonts w:hint="eastAsia" w:ascii="宋体" w:hAnsi="宋体" w:eastAsia="宋体" w:cs="宋体"/>
          <w:sz w:val="24"/>
          <w:szCs w:val="24"/>
          <w:lang w:val="zh-CN"/>
        </w:rPr>
        <w:t>九、违约责任：</w:t>
      </w:r>
      <w:bookmarkEnd w:id="22"/>
      <w:bookmarkEnd w:id="23"/>
      <w:bookmarkEnd w:id="24"/>
    </w:p>
    <w:p>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1、按《</w:t>
      </w:r>
      <w:r>
        <w:rPr>
          <w:rFonts w:hint="eastAsia" w:ascii="宋体" w:hAnsi="宋体" w:eastAsia="宋体" w:cs="宋体"/>
          <w:sz w:val="24"/>
          <w:szCs w:val="24"/>
          <w:lang w:val="en-US" w:eastAsia="zh-CN"/>
        </w:rPr>
        <w:t>中华人民共和国民法典</w:t>
      </w:r>
      <w:r>
        <w:rPr>
          <w:rFonts w:hint="eastAsia" w:ascii="宋体" w:hAnsi="宋体" w:eastAsia="宋体" w:cs="宋体"/>
          <w:sz w:val="24"/>
          <w:szCs w:val="24"/>
        </w:rPr>
        <w:t>》中的相关条款执行。</w:t>
      </w:r>
    </w:p>
    <w:p>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2、本合同履行期间，如乙方未能按照本合同约定完成相应目标成效要求，甲方有权要求乙方按照本合同总价款30%支付违约金，同时甲方有权视乙方违约情况决定是否单方解除本合同，并要求乙方赔偿甲方损失。</w:t>
      </w:r>
    </w:p>
    <w:p>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3、除本合同另有约定或因不可抗力情形之外，任何一方因违反本合同项下的任何义务或保证与承诺不实的，即构成违约，应向对方承担违约责任，赔偿因违反合同而给对方造成的全部实际产生的直接经济损失。</w:t>
      </w:r>
    </w:p>
    <w:p>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4、违约终止合同：未按合同要求提供货物或质量不能满足技术要求，甲方会同监督机构有权终止合同，对乙方违约行为进行追究，同时按政府采购法的有关规定进行相应的处罚。</w:t>
      </w:r>
    </w:p>
    <w:p>
      <w:pPr>
        <w:pStyle w:val="3"/>
        <w:bidi w:val="0"/>
        <w:spacing w:line="240" w:lineRule="auto"/>
        <w:jc w:val="both"/>
        <w:rPr>
          <w:rFonts w:hint="eastAsia" w:ascii="宋体" w:hAnsi="宋体" w:eastAsia="宋体" w:cs="宋体"/>
          <w:sz w:val="24"/>
          <w:szCs w:val="24"/>
          <w:lang w:val="zh-CN"/>
        </w:rPr>
      </w:pPr>
      <w:bookmarkStart w:id="25" w:name="_Toc4202"/>
      <w:bookmarkStart w:id="26" w:name="_Toc21667"/>
      <w:bookmarkStart w:id="27" w:name="_Toc8686"/>
      <w:r>
        <w:rPr>
          <w:rFonts w:hint="eastAsia" w:ascii="宋体" w:hAnsi="宋体" w:eastAsia="宋体" w:cs="宋体"/>
          <w:sz w:val="24"/>
          <w:szCs w:val="24"/>
          <w:lang w:val="zh-CN"/>
        </w:rPr>
        <w:t>十、合同组成：</w:t>
      </w:r>
      <w:bookmarkEnd w:id="25"/>
      <w:bookmarkEnd w:id="26"/>
      <w:bookmarkEnd w:id="27"/>
    </w:p>
    <w:p>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中标</w:t>
      </w:r>
      <w:r>
        <w:rPr>
          <w:rFonts w:hint="eastAsia" w:ascii="宋体" w:hAnsi="宋体" w:eastAsia="宋体" w:cs="宋体"/>
          <w:sz w:val="24"/>
          <w:szCs w:val="24"/>
        </w:rPr>
        <w:t>通知书</w:t>
      </w:r>
    </w:p>
    <w:p>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2、合同文件</w:t>
      </w:r>
    </w:p>
    <w:p>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3、国家相关规范及标准</w:t>
      </w:r>
    </w:p>
    <w:p>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4、供货设备技术规格及参数表</w:t>
      </w:r>
    </w:p>
    <w:p>
      <w:pPr>
        <w:pStyle w:val="3"/>
        <w:bidi w:val="0"/>
        <w:spacing w:line="240" w:lineRule="auto"/>
        <w:jc w:val="both"/>
        <w:rPr>
          <w:rFonts w:hint="eastAsia" w:ascii="宋体" w:hAnsi="宋体" w:eastAsia="宋体" w:cs="宋体"/>
          <w:sz w:val="24"/>
          <w:szCs w:val="24"/>
          <w:lang w:val="zh-CN"/>
        </w:rPr>
      </w:pPr>
      <w:bookmarkStart w:id="28" w:name="_Toc27099"/>
      <w:bookmarkStart w:id="29" w:name="_Toc30300"/>
      <w:bookmarkStart w:id="30" w:name="_Toc31698"/>
      <w:r>
        <w:rPr>
          <w:rFonts w:hint="eastAsia" w:ascii="宋体" w:hAnsi="宋体" w:eastAsia="宋体" w:cs="宋体"/>
          <w:sz w:val="24"/>
          <w:szCs w:val="24"/>
          <w:lang w:val="zh-CN"/>
        </w:rPr>
        <w:t>十一、合同生效及其它：</w:t>
      </w:r>
      <w:bookmarkEnd w:id="28"/>
      <w:bookmarkEnd w:id="29"/>
      <w:bookmarkEnd w:id="30"/>
    </w:p>
    <w:p>
      <w:pPr>
        <w:widowControl/>
        <w:autoSpaceDE w:val="0"/>
        <w:autoSpaceDN w:val="0"/>
        <w:snapToGrid w:val="0"/>
        <w:spacing w:line="360" w:lineRule="auto"/>
        <w:ind w:right="-110" w:firstLine="480" w:firstLineChars="200"/>
        <w:textAlignment w:val="bottom"/>
        <w:rPr>
          <w:rFonts w:hint="eastAsia" w:ascii="宋体" w:hAnsi="宋体" w:cs="宋体"/>
          <w:kern w:val="0"/>
          <w:sz w:val="24"/>
          <w:szCs w:val="24"/>
        </w:rPr>
      </w:pPr>
      <w:r>
        <w:rPr>
          <w:rFonts w:hint="eastAsia" w:ascii="宋体" w:hAnsi="宋体" w:cs="宋体"/>
          <w:kern w:val="0"/>
          <w:sz w:val="24"/>
          <w:szCs w:val="24"/>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lang w:val="zh-CN"/>
        </w:rPr>
      </w:pPr>
      <w:r>
        <w:rPr>
          <w:rFonts w:hint="eastAsia" w:ascii="宋体" w:hAnsi="宋体" w:cs="宋体"/>
          <w:kern w:val="0"/>
          <w:sz w:val="24"/>
          <w:szCs w:val="24"/>
        </w:rPr>
        <w:t>2、</w:t>
      </w:r>
      <w:r>
        <w:rPr>
          <w:rFonts w:hint="eastAsia" w:ascii="宋体" w:hAnsi="宋体" w:cs="宋体"/>
          <w:kern w:val="0"/>
          <w:sz w:val="24"/>
          <w:szCs w:val="24"/>
          <w:lang w:val="zh-CN"/>
        </w:rPr>
        <w:t>合同正本一式4份，采购人、成交供应商、</w:t>
      </w:r>
      <w:r>
        <w:rPr>
          <w:rFonts w:hint="eastAsia" w:ascii="宋体" w:hAnsi="宋体" w:cs="宋体"/>
          <w:kern w:val="0"/>
          <w:sz w:val="24"/>
          <w:szCs w:val="24"/>
          <w:lang w:val="en-US" w:eastAsia="zh-CN"/>
        </w:rPr>
        <w:t>政府采购中心</w:t>
      </w:r>
      <w:r>
        <w:rPr>
          <w:rFonts w:hint="eastAsia" w:ascii="宋体" w:hAnsi="宋体" w:cs="宋体"/>
          <w:kern w:val="0"/>
          <w:sz w:val="24"/>
          <w:szCs w:val="24"/>
          <w:lang w:val="zh-CN"/>
        </w:rPr>
        <w:t>各执一份，政府采购监督管理机关备案执一份。</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3、合同经甲乙双方盖章、签字后生效，合同签订地点为</w:t>
      </w:r>
      <w:r>
        <w:rPr>
          <w:rFonts w:hint="eastAsia" w:ascii="宋体" w:hAnsi="宋体" w:cs="宋体"/>
          <w:kern w:val="0"/>
          <w:sz w:val="24"/>
          <w:szCs w:val="24"/>
          <w:u w:val="single"/>
        </w:rPr>
        <w:t xml:space="preserve">   </w:t>
      </w:r>
      <w:r>
        <w:rPr>
          <w:rFonts w:hint="eastAsia" w:ascii="宋体" w:hAnsi="宋体" w:cs="宋体"/>
          <w:kern w:val="0"/>
          <w:sz w:val="24"/>
          <w:szCs w:val="24"/>
        </w:rPr>
        <w:t>。</w:t>
      </w:r>
    </w:p>
    <w:p>
      <w:pPr>
        <w:spacing w:line="360" w:lineRule="auto"/>
        <w:ind w:firstLine="480" w:firstLineChars="200"/>
      </w:pPr>
      <w:r>
        <w:rPr>
          <w:rFonts w:hint="eastAsia" w:ascii="宋体" w:hAnsi="宋体" w:cs="宋体"/>
          <w:kern w:val="0"/>
          <w:sz w:val="24"/>
          <w:szCs w:val="24"/>
        </w:rPr>
        <w:t xml:space="preserve">4、生效时间：    年  月 </w:t>
      </w:r>
      <w:r>
        <w:rPr>
          <w:rFonts w:hint="eastAsia" w:ascii="宋体" w:hAnsi="宋体" w:cs="宋体"/>
          <w:kern w:val="0"/>
          <w:sz w:val="24"/>
          <w:szCs w:val="24"/>
          <w:lang w:val="en-US" w:eastAsia="zh-CN"/>
        </w:rPr>
        <w:t xml:space="preserve">  日</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p>
    <w:p>
      <w:pPr>
        <w:pStyle w:val="2"/>
        <w:rPr>
          <w:rFonts w:hint="eastAsia"/>
        </w:rPr>
      </w:pPr>
    </w:p>
    <w:tbl>
      <w:tblPr>
        <w:tblStyle w:val="9"/>
        <w:tblpPr w:leftFromText="180" w:rightFromText="180" w:vertAnchor="text" w:horzAnchor="page" w:tblpX="1721" w:tblpY="467"/>
        <w:tblOverlap w:val="never"/>
        <w:tblW w:w="9286" w:type="dxa"/>
        <w:tblInd w:w="0" w:type="dxa"/>
        <w:tblLayout w:type="fixed"/>
        <w:tblCellMar>
          <w:top w:w="0" w:type="dxa"/>
          <w:left w:w="108" w:type="dxa"/>
          <w:bottom w:w="0" w:type="dxa"/>
          <w:right w:w="108" w:type="dxa"/>
        </w:tblCellMar>
      </w:tblPr>
      <w:tblGrid>
        <w:gridCol w:w="4643"/>
        <w:gridCol w:w="4643"/>
      </w:tblGrid>
      <w:tr>
        <w:tblPrEx>
          <w:tblLayout w:type="fixed"/>
          <w:tblCellMar>
            <w:top w:w="0" w:type="dxa"/>
            <w:left w:w="108" w:type="dxa"/>
            <w:bottom w:w="0" w:type="dxa"/>
            <w:right w:w="108" w:type="dxa"/>
          </w:tblCellMar>
        </w:tblPrEx>
        <w:tc>
          <w:tcPr>
            <w:tcW w:w="4643" w:type="dxa"/>
            <w:noWrap w:val="0"/>
            <w:vAlign w:val="top"/>
          </w:tcPr>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甲方名称</w:t>
            </w:r>
            <w:r>
              <w:rPr>
                <w:rFonts w:hint="eastAsia" w:ascii="宋体" w:hAnsi="宋体" w:cs="宋体"/>
                <w:spacing w:val="-20"/>
                <w:kern w:val="0"/>
                <w:sz w:val="24"/>
                <w:szCs w:val="24"/>
              </w:rPr>
              <w:t>（盖章）</w:t>
            </w:r>
            <w:r>
              <w:rPr>
                <w:rFonts w:hint="eastAsia" w:ascii="宋体" w:hAnsi="宋体" w:cs="宋体"/>
                <w:kern w:val="0"/>
                <w:sz w:val="24"/>
                <w:szCs w:val="24"/>
              </w:rPr>
              <w:t>:</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地址：</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代表人（签字）：</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电话：</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开户银行：</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lang w:eastAsia="zh-CN"/>
              </w:rPr>
              <w:t>账号</w:t>
            </w:r>
            <w:r>
              <w:rPr>
                <w:rFonts w:hint="eastAsia" w:ascii="宋体" w:hAnsi="宋体" w:cs="宋体"/>
                <w:kern w:val="0"/>
                <w:sz w:val="24"/>
                <w:szCs w:val="24"/>
              </w:rPr>
              <w:t>：</w:t>
            </w:r>
          </w:p>
        </w:tc>
        <w:tc>
          <w:tcPr>
            <w:tcW w:w="4643" w:type="dxa"/>
            <w:noWrap w:val="0"/>
            <w:vAlign w:val="top"/>
          </w:tcPr>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乙方名称</w:t>
            </w:r>
            <w:r>
              <w:rPr>
                <w:rFonts w:hint="eastAsia" w:ascii="宋体" w:hAnsi="宋体" w:cs="宋体"/>
                <w:spacing w:val="-20"/>
                <w:kern w:val="0"/>
                <w:sz w:val="24"/>
                <w:szCs w:val="24"/>
              </w:rPr>
              <w:t>（盖章）</w:t>
            </w:r>
            <w:r>
              <w:rPr>
                <w:rFonts w:hint="eastAsia" w:ascii="宋体" w:hAnsi="宋体" w:cs="宋体"/>
                <w:kern w:val="0"/>
                <w:sz w:val="24"/>
                <w:szCs w:val="24"/>
              </w:rPr>
              <w:t>:</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地址：</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代表人（签字）：</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电话：</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开户银行：</w:t>
            </w:r>
          </w:p>
          <w:p>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lang w:eastAsia="zh-CN"/>
              </w:rPr>
              <w:t>账号</w:t>
            </w:r>
            <w:r>
              <w:rPr>
                <w:rFonts w:hint="eastAsia" w:ascii="宋体" w:hAnsi="宋体" w:cs="宋体"/>
                <w:kern w:val="0"/>
                <w:sz w:val="24"/>
                <w:szCs w:val="24"/>
              </w:rPr>
              <w:t>：</w:t>
            </w:r>
          </w:p>
        </w:tc>
      </w:tr>
    </w:tbl>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bookmarkStart w:id="31" w:name="_GoBack"/>
      <w:bookmarkEnd w:id="3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60589"/>
    <w:rsid w:val="021872CE"/>
    <w:rsid w:val="033755DF"/>
    <w:rsid w:val="03836A76"/>
    <w:rsid w:val="0433224A"/>
    <w:rsid w:val="048A4261"/>
    <w:rsid w:val="08477BEF"/>
    <w:rsid w:val="13021765"/>
    <w:rsid w:val="132D14F3"/>
    <w:rsid w:val="14157276"/>
    <w:rsid w:val="144349CA"/>
    <w:rsid w:val="170A508C"/>
    <w:rsid w:val="1A6C5716"/>
    <w:rsid w:val="1C5A616E"/>
    <w:rsid w:val="1CCC640B"/>
    <w:rsid w:val="1FAF67D1"/>
    <w:rsid w:val="21957C48"/>
    <w:rsid w:val="22145011"/>
    <w:rsid w:val="22AC524A"/>
    <w:rsid w:val="236C49D9"/>
    <w:rsid w:val="24232784"/>
    <w:rsid w:val="247B3126"/>
    <w:rsid w:val="26B812BA"/>
    <w:rsid w:val="27A04C51"/>
    <w:rsid w:val="2AAB4039"/>
    <w:rsid w:val="2C197E7F"/>
    <w:rsid w:val="2C5A3F68"/>
    <w:rsid w:val="2D630BFB"/>
    <w:rsid w:val="2E4375F4"/>
    <w:rsid w:val="2EF37D5C"/>
    <w:rsid w:val="37C6115A"/>
    <w:rsid w:val="388859B9"/>
    <w:rsid w:val="39F350B4"/>
    <w:rsid w:val="3C834E15"/>
    <w:rsid w:val="448E25A9"/>
    <w:rsid w:val="463902F3"/>
    <w:rsid w:val="469A5F78"/>
    <w:rsid w:val="4A7638C4"/>
    <w:rsid w:val="4A8A55C1"/>
    <w:rsid w:val="4CAA5AA7"/>
    <w:rsid w:val="4DA8312E"/>
    <w:rsid w:val="4E516B22"/>
    <w:rsid w:val="500B77B1"/>
    <w:rsid w:val="52CD0741"/>
    <w:rsid w:val="5367649F"/>
    <w:rsid w:val="58164938"/>
    <w:rsid w:val="587F04F6"/>
    <w:rsid w:val="5C221AFD"/>
    <w:rsid w:val="61EB0BE3"/>
    <w:rsid w:val="621874A7"/>
    <w:rsid w:val="62D41677"/>
    <w:rsid w:val="64601415"/>
    <w:rsid w:val="65336B29"/>
    <w:rsid w:val="65B37C6A"/>
    <w:rsid w:val="65D35C16"/>
    <w:rsid w:val="6A114F5F"/>
    <w:rsid w:val="6C2F15A9"/>
    <w:rsid w:val="6CAB169B"/>
    <w:rsid w:val="6D2531FB"/>
    <w:rsid w:val="72E34E8B"/>
    <w:rsid w:val="77185B7F"/>
    <w:rsid w:val="77534E09"/>
    <w:rsid w:val="77E15F71"/>
    <w:rsid w:val="77FE4D75"/>
    <w:rsid w:val="7C372603"/>
    <w:rsid w:val="7C4D0A27"/>
    <w:rsid w:val="7CCD740C"/>
    <w:rsid w:val="7DF60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annotation text"/>
    <w:basedOn w:val="1"/>
    <w:qFormat/>
    <w:uiPriority w:val="0"/>
    <w:pPr>
      <w:jc w:val="left"/>
    </w:p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6"/>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7202</Words>
  <Characters>7335</Characters>
  <Lines>0</Lines>
  <Paragraphs>0</Paragraphs>
  <TotalTime>0</TotalTime>
  <ScaleCrop>false</ScaleCrop>
  <LinksUpToDate>false</LinksUpToDate>
  <CharactersWithSpaces>8037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2025-01-07T06:20:00Z</dcterms:created>
  <dc:creator>doit</dc:creator>
  <cp:lastModifiedBy>Administrator</cp:lastModifiedBy>
  <dcterms:modified xsi:type="dcterms:W3CDTF">2026-01-12T06:27:44Z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0F7C3DD00BCE46709845E9EE25F8E44F_13</vt:lpwstr>
  </property>
  <property fmtid="{D5CDD505-2E9C-101B-9397-08002B2CF9AE}" pid="4" name="KSOTemplateDocerSaveRecord">
    <vt:lpwstr>eyJoZGlkIjoiNDAwNzMzYzc2MWY0NDI5NDkyODRmODQ2YjhlYzI1ZWMiLCJ1c2VySWQiOiI1NDExODg2NzgifQ==</vt:lpwstr>
  </property>
</Properties>
</file>