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版本号：ZCSP-临渭区-2026-0001520260116001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2026年春节环卫工人慰问品采购项目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ZCSP-临渭区-2026-00015</w:t>
      </w:r>
      <w:r>
        <w:br/>
      </w:r>
      <w:r>
        <w:br/>
      </w:r>
      <w:r>
        <w:br/>
      </w:r>
    </w:p>
    <w:p>
      <w:pPr>
        <w:pStyle w:val="null3"/>
        <w:jc w:val="center"/>
        <w:outlineLvl w:val="2"/>
      </w:pPr>
      <w:r>
        <w:rPr>
          <w:rFonts w:ascii="仿宋_GB2312" w:hAnsi="仿宋_GB2312" w:cs="仿宋_GB2312" w:eastAsia="仿宋_GB2312"/>
          <w:sz w:val="28"/>
          <w:b/>
        </w:rPr>
        <w:t>渭南市临渭区环境卫生管理中心</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渭南市临渭区环境卫生管理中心</w:t>
      </w:r>
      <w:r>
        <w:rPr>
          <w:rFonts w:ascii="仿宋_GB2312" w:hAnsi="仿宋_GB2312" w:cs="仿宋_GB2312" w:eastAsia="仿宋_GB2312"/>
        </w:rPr>
        <w:t>委托，拟对</w:t>
      </w:r>
      <w:r>
        <w:rPr>
          <w:rFonts w:ascii="仿宋_GB2312" w:hAnsi="仿宋_GB2312" w:cs="仿宋_GB2312" w:eastAsia="仿宋_GB2312"/>
        </w:rPr>
        <w:t>2026年春节环卫工人慰问品采购项目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ZCSP-临渭区-2026-00015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2026年春节环卫工人慰问品采购项目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为切实传递党和政府对一线环卫工人的关怀与问候，让环卫工人在2026年春节期间感受到节日温暖，我单位计划采购一批慰问品，包含小麦粉、食用油、火锅底料、水晶饼、桃酥、挂面等产品。</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及法定代表人身份证明书（附法定代表人及被授权人身份证复印件）</w:t>
      </w:r>
    </w:p>
    <w:p>
      <w:pPr>
        <w:pStyle w:val="null3"/>
      </w:pPr>
      <w:r>
        <w:rPr>
          <w:rFonts w:ascii="仿宋_GB2312" w:hAnsi="仿宋_GB2312" w:cs="仿宋_GB2312" w:eastAsia="仿宋_GB2312"/>
        </w:rPr>
        <w:t>2、企业资质：投标人为生产厂家的，须提供有效期内的《食品生产许可证》，并提供《食品经营许可证》或《仅销售预包装食品经营者备案表》；投标人为代理商的，须提供有效期内的《食品经营许可证》或《仅销售预包装食品经营者备案表》，并提供生产厂家的《食品生产许可证》。</w:t>
      </w:r>
    </w:p>
    <w:p>
      <w:pPr>
        <w:pStyle w:val="null3"/>
      </w:pPr>
      <w:r>
        <w:rPr>
          <w:rFonts w:ascii="仿宋_GB2312" w:hAnsi="仿宋_GB2312" w:cs="仿宋_GB2312" w:eastAsia="仿宋_GB2312"/>
        </w:rPr>
        <w:t>3、投标保证金：投标保证金交纳凭证</w:t>
      </w:r>
    </w:p>
    <w:p>
      <w:pPr>
        <w:pStyle w:val="null3"/>
      </w:pPr>
      <w:r>
        <w:rPr>
          <w:rFonts w:ascii="仿宋_GB2312" w:hAnsi="仿宋_GB2312" w:cs="仿宋_GB2312" w:eastAsia="仿宋_GB2312"/>
        </w:rPr>
        <w:t>4、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渭南市临渭区环境卫生管理中心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张振红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0913-8139358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陕西省西安市高新区唐延路11号禾盛京广中心B座14层1403室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13571518412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 xml:space="preserve"> 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采购包1保证金金额：8,400.00元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开户名称：华兴天成项目咨询有限公司</w:t>
            </w:r>
          </w:p>
          <w:p>
            <w:pPr>
              <w:pStyle w:val="null3"/>
            </w:pPr>
            <w:r>
              <w:rPr>
                <w:rFonts w:ascii="仿宋_GB2312" w:hAnsi="仿宋_GB2312" w:cs="仿宋_GB2312" w:eastAsia="仿宋_GB2312"/>
              </w:rPr>
              <w:t>开户银行：西安银行股份有限公司未来支行</w:t>
            </w:r>
          </w:p>
          <w:p>
            <w:pPr>
              <w:pStyle w:val="null3"/>
            </w:pPr>
            <w:r>
              <w:rPr>
                <w:rFonts w:ascii="仿宋_GB2312" w:hAnsi="仿宋_GB2312" w:cs="仿宋_GB2312" w:eastAsia="仿宋_GB2312"/>
              </w:rPr>
              <w:t>银行账号：291011580000051615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渭南市临渭区环境卫生管理中心</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渭南市临渭区环境卫生管理中心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渭南市临渭区环境卫生管理中心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(一)验收流程 1.做好卸货前的检查。双方验收人员卸货前应对场地和验收设备做好准备，并对产品的外观质量进行初步了解。产品运输必须采用符合卫生标准的外包装和运输工具，保持清洁和定期消毒，车厢内无不良气味、异味。产品应清洁，无损伤、腐烂现象，外包装完整，无寄生虫或已受虫害现象。 2.采取现场验收的方式，双方验收人员应认真检查产品的质量，按索票--验证--计数-入库的程序完成验收，供应商可提供原件的留 原件，原件只有一份而无法提供给的查验原件后，索取复印件留存。 3.每次每种产品全部进行验收检查，对于产品验收的全部信息数据，验收人员应和供应商送货人员一起确认，并保留双方签字单据。 4.检查发现产品安全质量问题的处理： (1)对危及人身安全的产品质量问题采取零容忍措施，一经发现，当日所送同批次产品全部退货。 (2)若检查未发现问题，而在加工食用前发现部分产品质量问题，应立即通知供应商，将问题产品退货处理。 (二)退(补)货流程 对不符合质量要求的产品由验收人员提出清退，如双方对质量或 重量有争议的可送具有检验资质的部门检测，同时留样备检，对数量 不足或部分退货的，责成供应商以不影响产品供应为前提尽快补送。 在退货过程中，对有碍公共卫生安全的产品，应按国家有关规定处理 或进行协议销毁，不退货给供应商。 (三)验收记录 对每次验收的产品均记录名称、数量、验收情况等事项，并由双 方验收人员签名确认。 (四)验收条款 1.供应商所提供的产品必须符合国家行业生产及经营标准，货真价实，均能提供相应批次的合格检验证明。 2.供应商所提供的物产品必须各项技术指标完全符合国家强制性标准，符合国家有关质量检测、环保标准及产品出厂标准。 3.供应商必须负责中标产品的运输、质量检测等工作，所产生的费用由供应商负责。 4.供应商配送产品必须按时按量按质送到指定地点，并当面核实数量，验收完毕后，双方必须在收货清单(格式自定，但必须包括产品 单价、数量、重量、合价等内容)上签名确认，产品收货清单作为支付货款的依据之一。</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联系人：王敏</w:t>
      </w:r>
    </w:p>
    <w:p>
      <w:pPr>
        <w:pStyle w:val="null3"/>
      </w:pPr>
      <w:r>
        <w:rPr>
          <w:rFonts w:ascii="仿宋_GB2312" w:hAnsi="仿宋_GB2312" w:cs="仿宋_GB2312" w:eastAsia="仿宋_GB2312"/>
        </w:rPr>
        <w:t>联系电话：13571518412</w:t>
      </w:r>
    </w:p>
    <w:p>
      <w:pPr>
        <w:pStyle w:val="null3"/>
      </w:pPr>
      <w:r>
        <w:rPr>
          <w:rFonts w:ascii="仿宋_GB2312" w:hAnsi="仿宋_GB2312" w:cs="仿宋_GB2312" w:eastAsia="仿宋_GB2312"/>
        </w:rPr>
        <w:t>地址：陕西省西安市高新区唐延路11号禾盛京广中心E座17层1704A室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为切实传递党和政府对一线环卫工人的关怀与问候，让环卫工人在2026年春节期间感受到节日温暖，我单位计划采购一批慰问品，包含小麦粉、食用油、火锅底料、水晶饼、桃酥、挂面等产品。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小麦粉.食用油.火锅底料.水晶饼.桃酥及挂面各2000份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标的名称：小麦粉.食用油.火锅底料.水晶饼.桃酥及挂面各2000份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一、采购标的及数量</w:t>
            </w:r>
          </w:p>
          <w:p>
            <w:pPr>
              <w:pStyle w:val="null3"/>
              <w:jc w:val="both"/>
            </w:pPr>
            <w:r>
              <w:rPr>
                <w:rFonts w:ascii="仿宋_GB2312" w:hAnsi="仿宋_GB2312" w:cs="仿宋_GB2312" w:eastAsia="仿宋_GB2312"/>
                <w:sz w:val="21"/>
                <w:b/>
              </w:rPr>
              <w:t xml:space="preserve">  </w:t>
            </w:r>
          </w:p>
          <w:tbl>
            <w:tblPr>
              <w:tblInd w:type="dxa" w:w="105"/>
              <w:tblBorders>
                <w:top w:val="none" w:color="000000" w:sz="4"/>
                <w:left w:val="none" w:color="000000" w:sz="4"/>
                <w:bottom w:val="none" w:color="000000" w:sz="4"/>
                <w:right w:val="none" w:color="000000" w:sz="4"/>
                <w:insideH w:val="none"/>
                <w:insideV w:val="none"/>
              </w:tblBorders>
            </w:tblPr>
            <w:tblGrid>
              <w:gridCol w:w="336"/>
              <w:gridCol w:w="836"/>
              <w:gridCol w:w="717"/>
              <w:gridCol w:w="665"/>
            </w:tblGrid>
            <w:tr>
              <w:tc>
                <w:tcPr>
                  <w:tcW w:type="dxa" w:w="3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50"/>
                    <w:jc w:val="center"/>
                  </w:pPr>
                  <w:r>
                    <w:rPr>
                      <w:rFonts w:ascii="仿宋_GB2312" w:hAnsi="仿宋_GB2312" w:cs="仿宋_GB2312" w:eastAsia="仿宋_GB2312"/>
                      <w:sz w:val="24"/>
                      <w:b/>
                    </w:rPr>
                    <w:t>序号</w:t>
                  </w:r>
                </w:p>
              </w:tc>
              <w:tc>
                <w:tcPr>
                  <w:tcW w:type="dxa" w:w="8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50"/>
                    <w:jc w:val="center"/>
                  </w:pPr>
                  <w:r>
                    <w:rPr>
                      <w:rFonts w:ascii="仿宋_GB2312" w:hAnsi="仿宋_GB2312" w:cs="仿宋_GB2312" w:eastAsia="仿宋_GB2312"/>
                      <w:sz w:val="24"/>
                      <w:b/>
                    </w:rPr>
                    <w:t>采购标的名称</w:t>
                  </w:r>
                </w:p>
              </w:tc>
              <w:tc>
                <w:tcPr>
                  <w:tcW w:type="dxa" w:w="7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510" w:firstLine="458"/>
                    <w:jc w:val="both"/>
                  </w:pPr>
                  <w:r>
                    <w:rPr>
                      <w:rFonts w:ascii="仿宋_GB2312" w:hAnsi="仿宋_GB2312" w:cs="仿宋_GB2312" w:eastAsia="仿宋_GB2312"/>
                      <w:sz w:val="24"/>
                      <w:b/>
                    </w:rPr>
                    <w:t>规格</w:t>
                  </w:r>
                </w:p>
              </w:tc>
              <w:tc>
                <w:tcPr>
                  <w:tcW w:type="dxa" w:w="6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0"/>
                    <w:jc w:val="center"/>
                  </w:pPr>
                  <w:r>
                    <w:rPr>
                      <w:rFonts w:ascii="仿宋_GB2312" w:hAnsi="仿宋_GB2312" w:cs="仿宋_GB2312" w:eastAsia="仿宋_GB2312"/>
                      <w:sz w:val="24"/>
                      <w:b/>
                    </w:rPr>
                    <w:t>暂定数量</w:t>
                  </w:r>
                </w:p>
              </w:tc>
            </w:tr>
            <w:tr>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firstLine="480"/>
                    <w:jc w:val="center"/>
                  </w:pPr>
                  <w:r>
                    <w:rPr>
                      <w:rFonts w:ascii="仿宋_GB2312" w:hAnsi="仿宋_GB2312" w:cs="仿宋_GB2312" w:eastAsia="仿宋_GB2312"/>
                      <w:sz w:val="24"/>
                    </w:rPr>
                    <w:t>1</w:t>
                  </w:r>
                </w:p>
              </w:tc>
              <w:tc>
                <w:tcPr>
                  <w:tcW w:type="dxa" w:w="8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4"/>
                    </w:rPr>
                    <w:t>火锅底料</w:t>
                  </w:r>
                  <w:r>
                    <w:rPr>
                      <w:rFonts w:ascii="仿宋_GB2312" w:hAnsi="仿宋_GB2312" w:cs="仿宋_GB2312" w:eastAsia="仿宋_GB2312"/>
                      <w:sz w:val="24"/>
                    </w:rPr>
                    <w:t>(</w:t>
                  </w:r>
                  <w:r>
                    <w:rPr>
                      <w:rFonts w:ascii="仿宋_GB2312" w:hAnsi="仿宋_GB2312" w:cs="仿宋_GB2312" w:eastAsia="仿宋_GB2312"/>
                      <w:sz w:val="24"/>
                    </w:rPr>
                    <w:t>每份含</w:t>
                  </w:r>
                  <w:r>
                    <w:rPr>
                      <w:rFonts w:ascii="仿宋_GB2312" w:hAnsi="仿宋_GB2312" w:cs="仿宋_GB2312" w:eastAsia="仿宋_GB2312"/>
                      <w:sz w:val="24"/>
                    </w:rPr>
                    <w:t>番茄、清</w:t>
                  </w:r>
                  <w:r>
                    <w:rPr>
                      <w:rFonts w:ascii="仿宋_GB2312" w:hAnsi="仿宋_GB2312" w:cs="仿宋_GB2312" w:eastAsia="仿宋_GB2312"/>
                      <w:sz w:val="24"/>
                    </w:rPr>
                    <w:t>油、牛油</w:t>
                  </w:r>
                  <w:r>
                    <w:rPr>
                      <w:rFonts w:ascii="仿宋_GB2312" w:hAnsi="仿宋_GB2312" w:cs="仿宋_GB2312" w:eastAsia="仿宋_GB2312"/>
                      <w:sz w:val="24"/>
                    </w:rPr>
                    <w:t>三种口味</w:t>
                  </w:r>
                  <w:r>
                    <w:rPr>
                      <w:rFonts w:ascii="仿宋_GB2312" w:hAnsi="仿宋_GB2312" w:cs="仿宋_GB2312" w:eastAsia="仿宋_GB2312"/>
                      <w:sz w:val="24"/>
                    </w:rPr>
                    <w:t>)</w:t>
                  </w:r>
                </w:p>
              </w:tc>
              <w:tc>
                <w:tcPr>
                  <w:tcW w:type="dxa" w:w="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50"/>
                    <w:jc w:val="center"/>
                  </w:pPr>
                  <w:r>
                    <w:rPr>
                      <w:rFonts w:ascii="仿宋_GB2312" w:hAnsi="仿宋_GB2312" w:cs="仿宋_GB2312" w:eastAsia="仿宋_GB2312"/>
                      <w:sz w:val="24"/>
                    </w:rPr>
                    <w:t>每种</w:t>
                  </w:r>
                  <w:r>
                    <w:rPr>
                      <w:rFonts w:ascii="仿宋_GB2312" w:hAnsi="仿宋_GB2312" w:cs="仿宋_GB2312" w:eastAsia="仿宋_GB2312"/>
                      <w:sz w:val="24"/>
                    </w:rPr>
                    <w:t>≥450g</w:t>
                  </w:r>
                </w:p>
              </w:tc>
              <w:tc>
                <w:tcPr>
                  <w:tcW w:type="dxa" w:w="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420"/>
                    <w:jc w:val="center"/>
                  </w:pPr>
                  <w:r>
                    <w:rPr>
                      <w:rFonts w:ascii="仿宋_GB2312" w:hAnsi="仿宋_GB2312" w:cs="仿宋_GB2312" w:eastAsia="仿宋_GB2312"/>
                      <w:sz w:val="24"/>
                    </w:rPr>
                    <w:t>2000份</w:t>
                  </w:r>
                </w:p>
              </w:tc>
            </w:tr>
            <w:tr>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jc w:val="center"/>
                  </w:pPr>
                  <w:r>
                    <w:rPr>
                      <w:rFonts w:ascii="仿宋_GB2312" w:hAnsi="仿宋_GB2312" w:cs="仿宋_GB2312" w:eastAsia="仿宋_GB2312"/>
                      <w:sz w:val="24"/>
                    </w:rPr>
                    <w:t>2</w:t>
                  </w:r>
                </w:p>
              </w:tc>
              <w:tc>
                <w:tcPr>
                  <w:tcW w:type="dxa" w:w="8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45"/>
                    <w:jc w:val="center"/>
                  </w:pPr>
                  <w:r>
                    <w:rPr>
                      <w:rFonts w:ascii="仿宋_GB2312" w:hAnsi="仿宋_GB2312" w:cs="仿宋_GB2312" w:eastAsia="仿宋_GB2312"/>
                      <w:sz w:val="24"/>
                    </w:rPr>
                    <w:t>桃酥</w:t>
                  </w:r>
                </w:p>
              </w:tc>
              <w:tc>
                <w:tcPr>
                  <w:tcW w:type="dxa" w:w="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center"/>
                  </w:pPr>
                  <w:r>
                    <w:rPr>
                      <w:rFonts w:ascii="仿宋_GB2312" w:hAnsi="仿宋_GB2312" w:cs="仿宋_GB2312" w:eastAsia="仿宋_GB2312"/>
                      <w:sz w:val="24"/>
                    </w:rPr>
                    <w:t>≥500g</w:t>
                  </w:r>
                </w:p>
              </w:tc>
              <w:tc>
                <w:tcPr>
                  <w:tcW w:type="dxa" w:w="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20"/>
                    <w:jc w:val="center"/>
                  </w:pPr>
                  <w:r>
                    <w:rPr>
                      <w:rFonts w:ascii="仿宋_GB2312" w:hAnsi="仿宋_GB2312" w:cs="仿宋_GB2312" w:eastAsia="仿宋_GB2312"/>
                      <w:sz w:val="24"/>
                    </w:rPr>
                    <w:t>2000份</w:t>
                  </w:r>
                </w:p>
              </w:tc>
            </w:tr>
            <w:tr>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jc w:val="center"/>
                  </w:pPr>
                  <w:r>
                    <w:rPr>
                      <w:rFonts w:ascii="仿宋_GB2312" w:hAnsi="仿宋_GB2312" w:cs="仿宋_GB2312" w:eastAsia="仿宋_GB2312"/>
                      <w:sz w:val="24"/>
                    </w:rPr>
                    <w:t>3</w:t>
                  </w:r>
                </w:p>
              </w:tc>
              <w:tc>
                <w:tcPr>
                  <w:tcW w:type="dxa" w:w="8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825"/>
                    <w:jc w:val="center"/>
                  </w:pPr>
                  <w:r>
                    <w:rPr>
                      <w:rFonts w:ascii="仿宋_GB2312" w:hAnsi="仿宋_GB2312" w:cs="仿宋_GB2312" w:eastAsia="仿宋_GB2312"/>
                      <w:sz w:val="24"/>
                    </w:rPr>
                    <w:t>水晶饼</w:t>
                  </w:r>
                </w:p>
              </w:tc>
              <w:tc>
                <w:tcPr>
                  <w:tcW w:type="dxa" w:w="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center"/>
                  </w:pPr>
                  <w:r>
                    <w:rPr>
                      <w:rFonts w:ascii="仿宋_GB2312" w:hAnsi="仿宋_GB2312" w:cs="仿宋_GB2312" w:eastAsia="仿宋_GB2312"/>
                      <w:sz w:val="24"/>
                    </w:rPr>
                    <w:t>≥500g</w:t>
                  </w:r>
                </w:p>
              </w:tc>
              <w:tc>
                <w:tcPr>
                  <w:tcW w:type="dxa" w:w="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20"/>
                    <w:jc w:val="center"/>
                  </w:pPr>
                  <w:r>
                    <w:rPr>
                      <w:rFonts w:ascii="仿宋_GB2312" w:hAnsi="仿宋_GB2312" w:cs="仿宋_GB2312" w:eastAsia="仿宋_GB2312"/>
                      <w:sz w:val="24"/>
                    </w:rPr>
                    <w:t>2000份</w:t>
                  </w:r>
                </w:p>
              </w:tc>
            </w:tr>
            <w:tr>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30"/>
                    <w:jc w:val="center"/>
                  </w:pPr>
                  <w:r>
                    <w:rPr>
                      <w:rFonts w:ascii="仿宋_GB2312" w:hAnsi="仿宋_GB2312" w:cs="仿宋_GB2312" w:eastAsia="仿宋_GB2312"/>
                      <w:sz w:val="24"/>
                    </w:rPr>
                    <w:t>4</w:t>
                  </w:r>
                </w:p>
              </w:tc>
              <w:tc>
                <w:tcPr>
                  <w:tcW w:type="dxa" w:w="8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825"/>
                    <w:jc w:val="center"/>
                  </w:pPr>
                  <w:r>
                    <w:rPr>
                      <w:rFonts w:ascii="仿宋_GB2312" w:hAnsi="仿宋_GB2312" w:cs="仿宋_GB2312" w:eastAsia="仿宋_GB2312"/>
                      <w:sz w:val="24"/>
                    </w:rPr>
                    <w:t>小麦粉（核心产品）</w:t>
                  </w:r>
                </w:p>
              </w:tc>
              <w:tc>
                <w:tcPr>
                  <w:tcW w:type="dxa" w:w="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50"/>
                    <w:jc w:val="center"/>
                  </w:pPr>
                  <w:r>
                    <w:rPr>
                      <w:rFonts w:ascii="仿宋_GB2312" w:hAnsi="仿宋_GB2312" w:cs="仿宋_GB2312" w:eastAsia="仿宋_GB2312"/>
                      <w:sz w:val="24"/>
                    </w:rPr>
                    <w:t>≥5kg</w:t>
                  </w:r>
                </w:p>
              </w:tc>
              <w:tc>
                <w:tcPr>
                  <w:tcW w:type="dxa" w:w="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20"/>
                    <w:jc w:val="center"/>
                  </w:pPr>
                  <w:r>
                    <w:rPr>
                      <w:rFonts w:ascii="仿宋_GB2312" w:hAnsi="仿宋_GB2312" w:cs="仿宋_GB2312" w:eastAsia="仿宋_GB2312"/>
                      <w:sz w:val="24"/>
                    </w:rPr>
                    <w:t>2000份</w:t>
                  </w:r>
                </w:p>
              </w:tc>
            </w:tr>
            <w:tr>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jc w:val="center"/>
                  </w:pPr>
                  <w:r>
                    <w:rPr>
                      <w:rFonts w:ascii="仿宋_GB2312" w:hAnsi="仿宋_GB2312" w:cs="仿宋_GB2312" w:eastAsia="仿宋_GB2312"/>
                      <w:sz w:val="24"/>
                    </w:rPr>
                    <w:t>5</w:t>
                  </w:r>
                </w:p>
              </w:tc>
              <w:tc>
                <w:tcPr>
                  <w:tcW w:type="dxa" w:w="8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825"/>
                    <w:jc w:val="center"/>
                  </w:pPr>
                  <w:r>
                    <w:rPr>
                      <w:rFonts w:ascii="仿宋_GB2312" w:hAnsi="仿宋_GB2312" w:cs="仿宋_GB2312" w:eastAsia="仿宋_GB2312"/>
                      <w:sz w:val="24"/>
                    </w:rPr>
                    <w:t>菜籽油</w:t>
                  </w:r>
                </w:p>
              </w:tc>
              <w:tc>
                <w:tcPr>
                  <w:tcW w:type="dxa" w:w="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jc w:val="center"/>
                  </w:pPr>
                  <w:r>
                    <w:rPr>
                      <w:rFonts w:ascii="仿宋_GB2312" w:hAnsi="仿宋_GB2312" w:cs="仿宋_GB2312" w:eastAsia="仿宋_GB2312"/>
                      <w:sz w:val="24"/>
                    </w:rPr>
                    <w:t>≥1.8L</w:t>
                  </w:r>
                </w:p>
              </w:tc>
              <w:tc>
                <w:tcPr>
                  <w:tcW w:type="dxa" w:w="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20"/>
                    <w:jc w:val="center"/>
                  </w:pPr>
                  <w:r>
                    <w:rPr>
                      <w:rFonts w:ascii="仿宋_GB2312" w:hAnsi="仿宋_GB2312" w:cs="仿宋_GB2312" w:eastAsia="仿宋_GB2312"/>
                      <w:sz w:val="24"/>
                    </w:rPr>
                    <w:t>2000份</w:t>
                  </w:r>
                </w:p>
              </w:tc>
            </w:tr>
            <w:tr>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jc w:val="center"/>
                  </w:pPr>
                  <w:r>
                    <w:rPr>
                      <w:rFonts w:ascii="仿宋_GB2312" w:hAnsi="仿宋_GB2312" w:cs="仿宋_GB2312" w:eastAsia="仿宋_GB2312"/>
                      <w:sz w:val="24"/>
                    </w:rPr>
                    <w:t>6</w:t>
                  </w:r>
                </w:p>
              </w:tc>
              <w:tc>
                <w:tcPr>
                  <w:tcW w:type="dxa" w:w="8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945"/>
                    <w:jc w:val="center"/>
                  </w:pPr>
                  <w:r>
                    <w:rPr>
                      <w:rFonts w:ascii="仿宋_GB2312" w:hAnsi="仿宋_GB2312" w:cs="仿宋_GB2312" w:eastAsia="仿宋_GB2312"/>
                      <w:sz w:val="24"/>
                    </w:rPr>
                    <w:t>挂面</w:t>
                  </w:r>
                </w:p>
              </w:tc>
              <w:tc>
                <w:tcPr>
                  <w:tcW w:type="dxa" w:w="7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30"/>
                    <w:jc w:val="center"/>
                  </w:pPr>
                  <w:r>
                    <w:rPr>
                      <w:rFonts w:ascii="仿宋_GB2312" w:hAnsi="仿宋_GB2312" w:cs="仿宋_GB2312" w:eastAsia="仿宋_GB2312"/>
                      <w:sz w:val="24"/>
                    </w:rPr>
                    <w:t>≥2.5kg</w:t>
                  </w:r>
                </w:p>
              </w:tc>
              <w:tc>
                <w:tcPr>
                  <w:tcW w:type="dxa" w:w="6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20"/>
                    <w:jc w:val="center"/>
                  </w:pPr>
                  <w:r>
                    <w:rPr>
                      <w:rFonts w:ascii="仿宋_GB2312" w:hAnsi="仿宋_GB2312" w:cs="仿宋_GB2312" w:eastAsia="仿宋_GB2312"/>
                      <w:sz w:val="24"/>
                    </w:rPr>
                    <w:t>2000份</w:t>
                  </w:r>
                </w:p>
              </w:tc>
            </w:tr>
            <w:tr>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jc w:val="both"/>
                  </w:pPr>
                  <w:r>
                    <w:rPr>
                      <w:rFonts w:ascii="仿宋_GB2312" w:hAnsi="仿宋_GB2312" w:cs="仿宋_GB2312" w:eastAsia="仿宋_GB2312"/>
                      <w:sz w:val="24"/>
                    </w:rPr>
                    <w:t>说明</w:t>
                  </w:r>
                </w:p>
              </w:tc>
              <w:tc>
                <w:tcPr>
                  <w:tcW w:type="dxa" w:w="221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firstLine="244"/>
                    <w:jc w:val="left"/>
                  </w:pPr>
                  <w:r>
                    <w:rPr>
                      <w:rFonts w:ascii="仿宋_GB2312" w:hAnsi="仿宋_GB2312" w:cs="仿宋_GB2312" w:eastAsia="仿宋_GB2312"/>
                      <w:sz w:val="24"/>
                    </w:rPr>
                    <w:t>暂定人数</w:t>
                  </w:r>
                  <w:r>
                    <w:rPr>
                      <w:rFonts w:ascii="仿宋_GB2312" w:hAnsi="仿宋_GB2312" w:cs="仿宋_GB2312" w:eastAsia="仿宋_GB2312"/>
                      <w:sz w:val="24"/>
                    </w:rPr>
                    <w:t>2000人，慰问品数量暂定 2000套，每人按照280元/套标准发放</w:t>
                  </w:r>
                  <w:r>
                    <w:rPr>
                      <w:rFonts w:ascii="仿宋_GB2312" w:hAnsi="仿宋_GB2312" w:cs="仿宋_GB2312" w:eastAsia="仿宋_GB2312"/>
                      <w:sz w:val="24"/>
                    </w:rPr>
                    <w:t>，每人发放</w:t>
                  </w:r>
                  <w:r>
                    <w:rPr>
                      <w:rFonts w:ascii="仿宋_GB2312" w:hAnsi="仿宋_GB2312" w:cs="仿宋_GB2312" w:eastAsia="仿宋_GB2312"/>
                      <w:sz w:val="24"/>
                    </w:rPr>
                    <w:t>1套慰问品，包含：火锅底料(番茄、清油、牛油)1 份、桃酥1份、水晶饼1份、小麦粉1份、菜籽油1份、挂面1份。</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rPr>
              <w:t>二、技术规格参数要求</w:t>
            </w:r>
          </w:p>
          <w:tbl>
            <w:tblPr>
              <w:tblInd w:type="dxa" w:w="120"/>
              <w:tblBorders>
                <w:top w:val="none" w:color="000000" w:sz="4"/>
                <w:left w:val="none" w:color="000000" w:sz="4"/>
                <w:bottom w:val="none" w:color="000000" w:sz="4"/>
                <w:right w:val="none" w:color="000000" w:sz="4"/>
                <w:insideH w:val="none"/>
                <w:insideV w:val="none"/>
              </w:tblBorders>
            </w:tblPr>
            <w:tblGrid>
              <w:gridCol w:w="207"/>
              <w:gridCol w:w="364"/>
              <w:gridCol w:w="1976"/>
            </w:tblGrid>
            <w:tr>
              <w:tc>
                <w:tcPr>
                  <w:tcW w:type="dxa" w:w="2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24"/>
                      <w:b/>
                    </w:rPr>
                    <w:t>序号</w:t>
                  </w:r>
                </w:p>
              </w:tc>
              <w:tc>
                <w:tcPr>
                  <w:tcW w:type="dxa" w:w="3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pPr>
                  <w:r>
                    <w:rPr>
                      <w:rFonts w:ascii="仿宋_GB2312" w:hAnsi="仿宋_GB2312" w:cs="仿宋_GB2312" w:eastAsia="仿宋_GB2312"/>
                      <w:sz w:val="24"/>
                      <w:b/>
                    </w:rPr>
                    <w:t>名称</w:t>
                  </w:r>
                </w:p>
              </w:tc>
              <w:tc>
                <w:tcPr>
                  <w:tcW w:type="dxa" w:w="19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130"/>
                  </w:pPr>
                  <w:r>
                    <w:rPr>
                      <w:rFonts w:ascii="仿宋_GB2312" w:hAnsi="仿宋_GB2312" w:cs="仿宋_GB2312" w:eastAsia="仿宋_GB2312"/>
                      <w:sz w:val="24"/>
                      <w:b/>
                    </w:rPr>
                    <w:t>质量、安全、技术规格要求</w:t>
                  </w:r>
                </w:p>
              </w:tc>
            </w:tr>
            <w:tr>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火锅底料</w:t>
                  </w:r>
                </w:p>
              </w:tc>
              <w:tc>
                <w:tcPr>
                  <w:tcW w:type="dxa" w:w="19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pPr>
                  <w:r>
                    <w:rPr>
                      <w:rFonts w:ascii="仿宋_GB2312" w:hAnsi="仿宋_GB2312" w:cs="仿宋_GB2312" w:eastAsia="仿宋_GB2312"/>
                      <w:sz w:val="24"/>
                      <w:b/>
                    </w:rPr>
                    <w:t>牛油火锅底料：</w:t>
                  </w:r>
                </w:p>
                <w:p>
                  <w:pPr>
                    <w:pStyle w:val="null3"/>
                    <w:spacing w:before="90"/>
                    <w:ind w:left="330"/>
                  </w:pPr>
                  <w:r>
                    <w:rPr>
                      <w:rFonts w:ascii="仿宋_GB2312" w:hAnsi="仿宋_GB2312" w:cs="仿宋_GB2312" w:eastAsia="仿宋_GB2312"/>
                      <w:sz w:val="24"/>
                    </w:rPr>
                    <w:t>1.理化指标：水分≤25g/100g,食盐含量≤18g/100g,</w:t>
                  </w:r>
                  <w:r>
                    <w:rPr>
                      <w:rFonts w:ascii="仿宋_GB2312" w:hAnsi="仿宋_GB2312" w:cs="仿宋_GB2312" w:eastAsia="仿宋_GB2312"/>
                      <w:sz w:val="24"/>
                    </w:rPr>
                    <w:t>酸价</w:t>
                  </w:r>
                  <w:r>
                    <w:rPr>
                      <w:rFonts w:ascii="仿宋_GB2312" w:hAnsi="仿宋_GB2312" w:cs="仿宋_GB2312" w:eastAsia="仿宋_GB2312"/>
                      <w:sz w:val="24"/>
                    </w:rPr>
                    <w:t>≤</w:t>
                  </w:r>
                </w:p>
                <w:p>
                  <w:pPr>
                    <w:pStyle w:val="null3"/>
                    <w:spacing w:before="120"/>
                    <w:ind w:left="90"/>
                  </w:pPr>
                  <w:r>
                    <w:rPr>
                      <w:rFonts w:ascii="仿宋_GB2312" w:hAnsi="仿宋_GB2312" w:cs="仿宋_GB2312" w:eastAsia="仿宋_GB2312"/>
                      <w:sz w:val="24"/>
                    </w:rPr>
                    <w:t>2.5mg/g,过氧化值≤0.25g/100g;</w:t>
                  </w:r>
                </w:p>
                <w:p>
                  <w:pPr>
                    <w:pStyle w:val="null3"/>
                    <w:spacing w:before="105"/>
                    <w:ind w:left="90" w:firstLine="237"/>
                  </w:pPr>
                  <w:r>
                    <w:rPr>
                      <w:rFonts w:ascii="仿宋_GB2312" w:hAnsi="仿宋_GB2312" w:cs="仿宋_GB2312" w:eastAsia="仿宋_GB2312"/>
                      <w:sz w:val="24"/>
                    </w:rPr>
                    <w:t>2.原料要求：采用传统工艺炒制，牛油含量≥35%,选用优质辣椒、</w:t>
                  </w:r>
                  <w:r>
                    <w:rPr>
                      <w:rFonts w:ascii="仿宋_GB2312" w:hAnsi="仿宋_GB2312" w:cs="仿宋_GB2312" w:eastAsia="仿宋_GB2312"/>
                    </w:rPr>
                    <w:t xml:space="preserve"> </w:t>
                  </w:r>
                  <w:r>
                    <w:rPr>
                      <w:rFonts w:ascii="仿宋_GB2312" w:hAnsi="仿宋_GB2312" w:cs="仿宋_GB2312" w:eastAsia="仿宋_GB2312"/>
                      <w:sz w:val="24"/>
                    </w:rPr>
                    <w:t>花椒等原料，无工业色素、非法香料添加；</w:t>
                  </w:r>
                </w:p>
                <w:p>
                  <w:pPr>
                    <w:pStyle w:val="null3"/>
                    <w:spacing w:before="105"/>
                    <w:ind w:left="90" w:right="45" w:firstLine="240"/>
                  </w:pPr>
                  <w:r>
                    <w:rPr>
                      <w:rFonts w:ascii="仿宋_GB2312" w:hAnsi="仿宋_GB2312" w:cs="仿宋_GB2312" w:eastAsia="仿宋_GB2312"/>
                      <w:sz w:val="24"/>
                    </w:rPr>
                    <w:t>3.微生物指标：菌落总数≤10°CFU/g,大肠菌群≤10²CFU/g</w:t>
                  </w:r>
                  <w:r>
                    <w:rPr>
                      <w:rFonts w:ascii="仿宋_GB2312" w:hAnsi="仿宋_GB2312" w:cs="仿宋_GB2312" w:eastAsia="仿宋_GB2312"/>
                      <w:sz w:val="24"/>
                    </w:rPr>
                    <w:t>,霉</w:t>
                  </w:r>
                  <w:r>
                    <w:rPr>
                      <w:rFonts w:ascii="仿宋_GB2312" w:hAnsi="仿宋_GB2312" w:cs="仿宋_GB2312" w:eastAsia="仿宋_GB2312"/>
                    </w:rPr>
                    <w:t xml:space="preserve"> </w:t>
                  </w:r>
                  <w:r>
                    <w:rPr>
                      <w:rFonts w:ascii="仿宋_GB2312" w:hAnsi="仿宋_GB2312" w:cs="仿宋_GB2312" w:eastAsia="仿宋_GB2312"/>
                      <w:sz w:val="24"/>
                    </w:rPr>
                    <w:t>菌</w:t>
                  </w:r>
                  <w:r>
                    <w:rPr>
                      <w:rFonts w:ascii="仿宋_GB2312" w:hAnsi="仿宋_GB2312" w:cs="仿宋_GB2312" w:eastAsia="仿宋_GB2312"/>
                      <w:sz w:val="24"/>
                    </w:rPr>
                    <w:t>≤150CFU/g,沙门氏菌、金黄色葡萄球菌不得检出。</w:t>
                  </w:r>
                </w:p>
                <w:p>
                  <w:pPr>
                    <w:pStyle w:val="null3"/>
                    <w:spacing w:before="120"/>
                    <w:ind w:left="90" w:right="30" w:firstLine="240"/>
                  </w:pPr>
                  <w:r>
                    <w:rPr>
                      <w:rFonts w:ascii="仿宋_GB2312" w:hAnsi="仿宋_GB2312" w:cs="仿宋_GB2312" w:eastAsia="仿宋_GB2312"/>
                      <w:sz w:val="24"/>
                    </w:rPr>
                    <w:t>4.规格：≥450g,独立包装，独立包装密封良好，无漏气、受潮</w:t>
                  </w:r>
                  <w:r>
                    <w:rPr>
                      <w:rFonts w:ascii="仿宋_GB2312" w:hAnsi="仿宋_GB2312" w:cs="仿宋_GB2312" w:eastAsia="仿宋_GB2312"/>
                    </w:rPr>
                    <w:t xml:space="preserve"> </w:t>
                  </w:r>
                  <w:r>
                    <w:rPr>
                      <w:rFonts w:ascii="仿宋_GB2312" w:hAnsi="仿宋_GB2312" w:cs="仿宋_GB2312" w:eastAsia="仿宋_GB2312"/>
                      <w:sz w:val="24"/>
                    </w:rPr>
                    <w:t>现象。</w:t>
                  </w:r>
                </w:p>
                <w:p>
                  <w:pPr>
                    <w:pStyle w:val="null3"/>
                    <w:spacing w:before="90"/>
                    <w:ind w:left="90"/>
                  </w:pPr>
                  <w:r>
                    <w:rPr>
                      <w:rFonts w:ascii="仿宋_GB2312" w:hAnsi="仿宋_GB2312" w:cs="仿宋_GB2312" w:eastAsia="仿宋_GB2312"/>
                      <w:sz w:val="24"/>
                      <w:b/>
                    </w:rPr>
                    <w:t>清油火锅底料：</w:t>
                  </w:r>
                </w:p>
                <w:p>
                  <w:pPr>
                    <w:pStyle w:val="null3"/>
                    <w:spacing w:before="105"/>
                    <w:ind w:left="90" w:right="630" w:firstLine="259"/>
                  </w:pPr>
                  <w:r>
                    <w:rPr>
                      <w:rFonts w:ascii="仿宋_GB2312" w:hAnsi="仿宋_GB2312" w:cs="仿宋_GB2312" w:eastAsia="仿宋_GB2312"/>
                      <w:sz w:val="24"/>
                    </w:rPr>
                    <w:t>1.理化指标：水分≤25g/100g,食盐含量≤18g/100g,酸价</w:t>
                  </w:r>
                  <w:r>
                    <w:rPr>
                      <w:rFonts w:ascii="仿宋_GB2312" w:hAnsi="仿宋_GB2312" w:cs="仿宋_GB2312" w:eastAsia="仿宋_GB2312"/>
                    </w:rPr>
                    <w:t xml:space="preserve"> </w:t>
                  </w:r>
                  <w:r>
                    <w:rPr>
                      <w:rFonts w:ascii="仿宋_GB2312" w:hAnsi="仿宋_GB2312" w:cs="仿宋_GB2312" w:eastAsia="仿宋_GB2312"/>
                      <w:sz w:val="24"/>
                    </w:rPr>
                    <w:t>≤2.0mg/g,过氧化值≤0.20g/100g;</w:t>
                  </w:r>
                </w:p>
                <w:p>
                  <w:pPr>
                    <w:pStyle w:val="null3"/>
                    <w:spacing w:before="105"/>
                    <w:ind w:left="90" w:firstLine="249"/>
                  </w:pPr>
                  <w:r>
                    <w:rPr>
                      <w:rFonts w:ascii="仿宋_GB2312" w:hAnsi="仿宋_GB2312" w:cs="仿宋_GB2312" w:eastAsia="仿宋_GB2312"/>
                      <w:sz w:val="24"/>
                    </w:rPr>
                    <w:t>2.原料要求：选用非转基因菜籽油为主要油脂，油</w:t>
                  </w:r>
                  <w:r>
                    <w:rPr>
                      <w:rFonts w:ascii="仿宋_GB2312" w:hAnsi="仿宋_GB2312" w:cs="仿宋_GB2312" w:eastAsia="仿宋_GB2312"/>
                      <w:sz w:val="24"/>
                    </w:rPr>
                    <w:t>脂纯度</w:t>
                  </w:r>
                  <w:r>
                    <w:rPr>
                      <w:rFonts w:ascii="仿宋_GB2312" w:hAnsi="仿宋_GB2312" w:cs="仿宋_GB2312" w:eastAsia="仿宋_GB2312"/>
                      <w:sz w:val="24"/>
                    </w:rPr>
                    <w:t>≥90%,</w:t>
                  </w:r>
                  <w:r>
                    <w:rPr>
                      <w:rFonts w:ascii="仿宋_GB2312" w:hAnsi="仿宋_GB2312" w:cs="仿宋_GB2312" w:eastAsia="仿宋_GB2312"/>
                    </w:rPr>
                    <w:t xml:space="preserve"> </w:t>
                  </w:r>
                  <w:r>
                    <w:rPr>
                      <w:rFonts w:ascii="仿宋_GB2312" w:hAnsi="仿宋_GB2312" w:cs="仿宋_GB2312" w:eastAsia="仿宋_GB2312"/>
                      <w:sz w:val="24"/>
                    </w:rPr>
                    <w:t>风味醇厚，耐煮性强</w:t>
                  </w:r>
                  <w:r>
                    <w:rPr>
                      <w:rFonts w:ascii="仿宋_GB2312" w:hAnsi="仿宋_GB2312" w:cs="仿宋_GB2312" w:eastAsia="仿宋_GB2312"/>
                      <w:sz w:val="24"/>
                    </w:rPr>
                    <w:t>(煮制3小时以上风味稳定);</w:t>
                  </w:r>
                </w:p>
                <w:p>
                  <w:pPr>
                    <w:pStyle w:val="null3"/>
                    <w:spacing w:before="105"/>
                    <w:ind w:left="90" w:right="60" w:firstLine="250"/>
                  </w:pPr>
                  <w:r>
                    <w:rPr>
                      <w:rFonts w:ascii="仿宋_GB2312" w:hAnsi="仿宋_GB2312" w:cs="仿宋_GB2312" w:eastAsia="仿宋_GB2312"/>
                      <w:sz w:val="24"/>
                    </w:rPr>
                    <w:t>3.微生物指标：菌落总数≤10⁴CFU/g,大肠菌群≤10²CFU/g,霉</w:t>
                  </w:r>
                  <w:r>
                    <w:rPr>
                      <w:rFonts w:ascii="仿宋_GB2312" w:hAnsi="仿宋_GB2312" w:cs="仿宋_GB2312" w:eastAsia="仿宋_GB2312"/>
                    </w:rPr>
                    <w:t xml:space="preserve"> </w:t>
                  </w:r>
                  <w:r>
                    <w:rPr>
                      <w:rFonts w:ascii="仿宋_GB2312" w:hAnsi="仿宋_GB2312" w:cs="仿宋_GB2312" w:eastAsia="仿宋_GB2312"/>
                      <w:sz w:val="24"/>
                    </w:rPr>
                    <w:t>菌</w:t>
                  </w:r>
                  <w:r>
                    <w:rPr>
                      <w:rFonts w:ascii="仿宋_GB2312" w:hAnsi="仿宋_GB2312" w:cs="仿宋_GB2312" w:eastAsia="仿宋_GB2312"/>
                      <w:sz w:val="24"/>
                    </w:rPr>
                    <w:t>≤150CFU/g,沙门氏菌、金黄色葡萄球菌不得检出。</w:t>
                  </w:r>
                </w:p>
                <w:p>
                  <w:pPr>
                    <w:pStyle w:val="null3"/>
                    <w:spacing w:before="120"/>
                    <w:ind w:left="90" w:right="45" w:firstLine="230"/>
                  </w:pPr>
                  <w:r>
                    <w:rPr>
                      <w:rFonts w:ascii="仿宋_GB2312" w:hAnsi="仿宋_GB2312" w:cs="仿宋_GB2312" w:eastAsia="仿宋_GB2312"/>
                      <w:sz w:val="24"/>
                    </w:rPr>
                    <w:t>4.规格：≥450g,独立包装，独立包装密封良好，无漏气、受潮</w:t>
                  </w:r>
                  <w:r>
                    <w:rPr>
                      <w:rFonts w:ascii="仿宋_GB2312" w:hAnsi="仿宋_GB2312" w:cs="仿宋_GB2312" w:eastAsia="仿宋_GB2312"/>
                    </w:rPr>
                    <w:t xml:space="preserve"> </w:t>
                  </w:r>
                  <w:r>
                    <w:rPr>
                      <w:rFonts w:ascii="仿宋_GB2312" w:hAnsi="仿宋_GB2312" w:cs="仿宋_GB2312" w:eastAsia="仿宋_GB2312"/>
                      <w:sz w:val="24"/>
                    </w:rPr>
                    <w:t>现象。</w:t>
                  </w:r>
                </w:p>
                <w:p>
                  <w:pPr>
                    <w:pStyle w:val="null3"/>
                    <w:spacing w:before="90"/>
                    <w:ind w:right="675"/>
                  </w:pPr>
                  <w:r>
                    <w:rPr>
                      <w:rFonts w:ascii="仿宋_GB2312" w:hAnsi="仿宋_GB2312" w:cs="仿宋_GB2312" w:eastAsia="仿宋_GB2312"/>
                      <w:sz w:val="24"/>
                      <w:b/>
                    </w:rPr>
                    <w:t>番茄火锅底料：</w:t>
                  </w:r>
                </w:p>
                <w:p>
                  <w:pPr>
                    <w:pStyle w:val="null3"/>
                    <w:spacing w:before="90"/>
                    <w:ind w:left="105" w:right="675" w:firstLine="269"/>
                  </w:pPr>
                  <w:r>
                    <w:rPr>
                      <w:rFonts w:ascii="仿宋_GB2312" w:hAnsi="仿宋_GB2312" w:cs="仿宋_GB2312" w:eastAsia="仿宋_GB2312"/>
                      <w:sz w:val="24"/>
                    </w:rPr>
                    <w:t>1.理化指标：水分≤60g/100g,食盐含量≤8g/100g,总酸</w:t>
                  </w:r>
                  <w:r>
                    <w:rPr>
                      <w:rFonts w:ascii="仿宋_GB2312" w:hAnsi="仿宋_GB2312" w:cs="仿宋_GB2312" w:eastAsia="仿宋_GB2312"/>
                    </w:rPr>
                    <w:t xml:space="preserve"> </w:t>
                  </w:r>
                  <w:r>
                    <w:rPr>
                      <w:rFonts w:ascii="仿宋_GB2312" w:hAnsi="仿宋_GB2312" w:cs="仿宋_GB2312" w:eastAsia="仿宋_GB2312"/>
                      <w:sz w:val="24"/>
                    </w:rPr>
                    <w:t>≥0.5g/100g;</w:t>
                  </w:r>
                </w:p>
                <w:p>
                  <w:pPr>
                    <w:pStyle w:val="null3"/>
                    <w:spacing w:before="105"/>
                    <w:ind w:left="135" w:firstLine="209"/>
                  </w:pPr>
                  <w:r>
                    <w:rPr>
                      <w:rFonts w:ascii="仿宋_GB2312" w:hAnsi="仿宋_GB2312" w:cs="仿宋_GB2312" w:eastAsia="仿宋_GB2312"/>
                      <w:sz w:val="24"/>
                    </w:rPr>
                    <w:t>2.原料要求：番茄原料占比≥40%,选用新鲜番茄加工，无腐烂变</w:t>
                  </w:r>
                  <w:r>
                    <w:rPr>
                      <w:rFonts w:ascii="仿宋_GB2312" w:hAnsi="仿宋_GB2312" w:cs="仿宋_GB2312" w:eastAsia="仿宋_GB2312"/>
                      <w:sz w:val="24"/>
                    </w:rPr>
                    <w:t>质原料，不添加人工合成番茄香精；</w:t>
                  </w:r>
                </w:p>
                <w:p>
                  <w:pPr>
                    <w:pStyle w:val="null3"/>
                    <w:spacing w:before="90"/>
                    <w:ind w:left="120" w:firstLine="229"/>
                  </w:pPr>
                  <w:r>
                    <w:rPr>
                      <w:rFonts w:ascii="仿宋_GB2312" w:hAnsi="仿宋_GB2312" w:cs="仿宋_GB2312" w:eastAsia="仿宋_GB2312"/>
                      <w:sz w:val="24"/>
                    </w:rPr>
                    <w:t>3.微生物指标：菌落总数≤10³CFU/g,大肠菌群≤10CFU/g,霉菌</w:t>
                  </w:r>
                  <w:r>
                    <w:rPr>
                      <w:rFonts w:ascii="仿宋_GB2312" w:hAnsi="仿宋_GB2312" w:cs="仿宋_GB2312" w:eastAsia="仿宋_GB2312"/>
                    </w:rPr>
                    <w:t xml:space="preserve"> </w:t>
                  </w:r>
                  <w:r>
                    <w:rPr>
                      <w:rFonts w:ascii="仿宋_GB2312" w:hAnsi="仿宋_GB2312" w:cs="仿宋_GB2312" w:eastAsia="仿宋_GB2312"/>
                      <w:sz w:val="24"/>
                    </w:rPr>
                    <w:t>≤100CFU/g,致病菌不得检出。</w:t>
                  </w:r>
                </w:p>
                <w:p>
                  <w:pPr>
                    <w:pStyle w:val="null3"/>
                    <w:spacing w:before="105"/>
                    <w:ind w:left="105" w:firstLine="239"/>
                  </w:pPr>
                  <w:r>
                    <w:rPr>
                      <w:rFonts w:ascii="仿宋_GB2312" w:hAnsi="仿宋_GB2312" w:cs="仿宋_GB2312" w:eastAsia="仿宋_GB2312"/>
                      <w:sz w:val="24"/>
                    </w:rPr>
                    <w:t>4.规格：≥450g,独立包装，独立包装密封良好，无漏气、受潮</w:t>
                  </w:r>
                  <w:r>
                    <w:rPr>
                      <w:rFonts w:ascii="仿宋_GB2312" w:hAnsi="仿宋_GB2312" w:cs="仿宋_GB2312" w:eastAsia="仿宋_GB2312"/>
                    </w:rPr>
                    <w:t xml:space="preserve"> </w:t>
                  </w:r>
                  <w:r>
                    <w:rPr>
                      <w:rFonts w:ascii="仿宋_GB2312" w:hAnsi="仿宋_GB2312" w:cs="仿宋_GB2312" w:eastAsia="仿宋_GB2312"/>
                      <w:sz w:val="24"/>
                    </w:rPr>
                    <w:t>现象。</w:t>
                  </w:r>
                </w:p>
                <w:p>
                  <w:pPr>
                    <w:pStyle w:val="null3"/>
                    <w:spacing w:before="90"/>
                    <w:ind w:left="90" w:firstLine="220"/>
                  </w:pPr>
                  <w:r>
                    <w:rPr>
                      <w:rFonts w:ascii="仿宋_GB2312" w:hAnsi="仿宋_GB2312" w:cs="仿宋_GB2312" w:eastAsia="仿宋_GB2312"/>
                      <w:sz w:val="24"/>
                    </w:rPr>
                    <w:t>5.包装要求：三种口味火锅底料必须独立包装，装于一个礼品盒</w:t>
                  </w:r>
                  <w:r>
                    <w:rPr>
                      <w:rFonts w:ascii="仿宋_GB2312" w:hAnsi="仿宋_GB2312" w:cs="仿宋_GB2312" w:eastAsia="仿宋_GB2312"/>
                      <w:sz w:val="24"/>
                    </w:rPr>
                    <w:t>中，礼品盒符合绿色包装要求，符合</w:t>
                  </w:r>
                  <w:r>
                    <w:rPr>
                      <w:rFonts w:ascii="仿宋_GB2312" w:hAnsi="仿宋_GB2312" w:cs="仿宋_GB2312" w:eastAsia="仿宋_GB2312"/>
                      <w:sz w:val="24"/>
                    </w:rPr>
                    <w:t>GB 7718《食品安全国家标准预</w:t>
                  </w:r>
                  <w:r>
                    <w:rPr>
                      <w:rFonts w:ascii="仿宋_GB2312" w:hAnsi="仿宋_GB2312" w:cs="仿宋_GB2312" w:eastAsia="仿宋_GB2312"/>
                      <w:sz w:val="24"/>
                    </w:rPr>
                    <w:t>包装食品标签通则》要求。尺寸适配内装产品，摆放稳固，无晃动，</w:t>
                  </w:r>
                  <w:r>
                    <w:rPr>
                      <w:rFonts w:ascii="仿宋_GB2312" w:hAnsi="仿宋_GB2312" w:cs="仿宋_GB2312" w:eastAsia="仿宋_GB2312"/>
                    </w:rPr>
                    <w:t xml:space="preserve"> </w:t>
                  </w:r>
                  <w:r>
                    <w:rPr>
                      <w:rFonts w:ascii="仿宋_GB2312" w:hAnsi="仿宋_GB2312" w:cs="仿宋_GB2312" w:eastAsia="仿宋_GB2312"/>
                      <w:sz w:val="24"/>
                    </w:rPr>
                    <w:t>避免产品相互挤压损坏。礼品盒上需注明生产日期、保质期、配料</w:t>
                  </w:r>
                  <w:r>
                    <w:rPr>
                      <w:rFonts w:ascii="仿宋_GB2312" w:hAnsi="仿宋_GB2312" w:cs="仿宋_GB2312" w:eastAsia="仿宋_GB2312"/>
                    </w:rPr>
                    <w:t xml:space="preserve">  </w:t>
                  </w:r>
                  <w:r>
                    <w:rPr>
                      <w:rFonts w:ascii="仿宋_GB2312" w:hAnsi="仿宋_GB2312" w:cs="仿宋_GB2312" w:eastAsia="仿宋_GB2312"/>
                      <w:sz w:val="24"/>
                    </w:rPr>
                    <w:t>表、生产厂家等标识信息。</w:t>
                  </w:r>
                </w:p>
              </w:tc>
            </w:tr>
            <w:tr>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桃酥</w:t>
                  </w:r>
                </w:p>
              </w:tc>
              <w:tc>
                <w:tcPr>
                  <w:tcW w:type="dxa" w:w="19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firstLine="249"/>
                  </w:pPr>
                  <w:r>
                    <w:rPr>
                      <w:rFonts w:ascii="仿宋_GB2312" w:hAnsi="仿宋_GB2312" w:cs="仿宋_GB2312" w:eastAsia="仿宋_GB2312"/>
                      <w:sz w:val="24"/>
                    </w:rPr>
                    <w:t>1.执行标准：符合SB/T 10032-2017《桃酥类糕点》、GB/T20977</w:t>
                  </w:r>
                  <w:r>
                    <w:rPr>
                      <w:rFonts w:ascii="仿宋_GB2312" w:hAnsi="仿宋_GB2312" w:cs="仿宋_GB2312" w:eastAsia="仿宋_GB2312"/>
                    </w:rPr>
                    <w:t xml:space="preserve"> </w:t>
                  </w:r>
                  <w:r>
                    <w:rPr>
                      <w:rFonts w:ascii="仿宋_GB2312" w:hAnsi="仿宋_GB2312" w:cs="仿宋_GB2312" w:eastAsia="仿宋_GB2312"/>
                      <w:sz w:val="24"/>
                    </w:rPr>
                    <w:t>《糕点质量通则》、</w:t>
                  </w:r>
                  <w:r>
                    <w:rPr>
                      <w:rFonts w:ascii="仿宋_GB2312" w:hAnsi="仿宋_GB2312" w:cs="仿宋_GB2312" w:eastAsia="仿宋_GB2312"/>
                      <w:sz w:val="24"/>
                    </w:rPr>
                    <w:t>GB 7099《食品安全国家标准糕点、</w:t>
                  </w:r>
                  <w:r>
                    <w:rPr>
                      <w:rFonts w:ascii="仿宋_GB2312" w:hAnsi="仿宋_GB2312" w:cs="仿宋_GB2312" w:eastAsia="仿宋_GB2312"/>
                      <w:sz w:val="24"/>
                    </w:rPr>
                    <w:t>面包》要</w:t>
                  </w:r>
                  <w:r>
                    <w:rPr>
                      <w:rFonts w:ascii="仿宋_GB2312" w:hAnsi="仿宋_GB2312" w:cs="仿宋_GB2312" w:eastAsia="仿宋_GB2312"/>
                    </w:rPr>
                    <w:t xml:space="preserve"> </w:t>
                  </w:r>
                  <w:r>
                    <w:rPr>
                      <w:rFonts w:ascii="仿宋_GB2312" w:hAnsi="仿宋_GB2312" w:cs="仿宋_GB2312" w:eastAsia="仿宋_GB2312"/>
                      <w:sz w:val="24"/>
                    </w:rPr>
                    <w:t>求。</w:t>
                  </w:r>
                </w:p>
                <w:p>
                  <w:pPr>
                    <w:pStyle w:val="null3"/>
                    <w:spacing w:before="105"/>
                    <w:ind w:left="135" w:firstLine="219"/>
                  </w:pPr>
                  <w:r>
                    <w:rPr>
                      <w:rFonts w:ascii="仿宋_GB2312" w:hAnsi="仿宋_GB2312" w:cs="仿宋_GB2312" w:eastAsia="仿宋_GB2312"/>
                      <w:sz w:val="24"/>
                    </w:rPr>
                    <w:t>2.口感要求：口感酥松、香甜，无焦糊味、酸味</w:t>
                  </w:r>
                  <w:r>
                    <w:rPr>
                      <w:rFonts w:ascii="仿宋_GB2312" w:hAnsi="仿宋_GB2312" w:cs="仿宋_GB2312" w:eastAsia="仿宋_GB2312"/>
                      <w:sz w:val="24"/>
                    </w:rPr>
                    <w:t>等异味；形态完</w:t>
                  </w:r>
                  <w:r>
                    <w:rPr>
                      <w:rFonts w:ascii="仿宋_GB2312" w:hAnsi="仿宋_GB2312" w:cs="仿宋_GB2312" w:eastAsia="仿宋_GB2312"/>
                      <w:sz w:val="24"/>
                    </w:rPr>
                    <w:t>整，边缘整齐，无明显缺角、变形；无肉眼可见杂质。</w:t>
                  </w:r>
                </w:p>
                <w:p>
                  <w:pPr>
                    <w:pStyle w:val="null3"/>
                    <w:spacing w:before="120"/>
                    <w:ind w:left="105" w:firstLine="249"/>
                  </w:pPr>
                  <w:r>
                    <w:rPr>
                      <w:rFonts w:ascii="仿宋_GB2312" w:hAnsi="仿宋_GB2312" w:cs="仿宋_GB2312" w:eastAsia="仿宋_GB2312"/>
                      <w:sz w:val="24"/>
                    </w:rPr>
                    <w:t>3.规格要求：≥500g,每盒内独立包装，独立包装密封良好，无</w:t>
                  </w:r>
                  <w:r>
                    <w:rPr>
                      <w:rFonts w:ascii="仿宋_GB2312" w:hAnsi="仿宋_GB2312" w:cs="仿宋_GB2312" w:eastAsia="仿宋_GB2312"/>
                      <w:sz w:val="24"/>
                    </w:rPr>
                    <w:t>漏气、受潮现象。</w:t>
                  </w:r>
                </w:p>
                <w:p>
                  <w:pPr>
                    <w:pStyle w:val="null3"/>
                    <w:spacing w:before="120"/>
                    <w:ind w:left="120" w:firstLine="226"/>
                  </w:pPr>
                  <w:r>
                    <w:rPr>
                      <w:rFonts w:ascii="仿宋_GB2312" w:hAnsi="仿宋_GB2312" w:cs="仿宋_GB2312" w:eastAsia="仿宋_GB2312"/>
                      <w:sz w:val="24"/>
                    </w:rPr>
                    <w:t>4.包装要求：产品必须装于礼品盒中，礼品盒符</w:t>
                  </w:r>
                  <w:r>
                    <w:rPr>
                      <w:rFonts w:ascii="仿宋_GB2312" w:hAnsi="仿宋_GB2312" w:cs="仿宋_GB2312" w:eastAsia="仿宋_GB2312"/>
                      <w:sz w:val="24"/>
                    </w:rPr>
                    <w:t>合绿色包装要求，</w:t>
                  </w:r>
                  <w:r>
                    <w:rPr>
                      <w:rFonts w:ascii="仿宋_GB2312" w:hAnsi="仿宋_GB2312" w:cs="仿宋_GB2312" w:eastAsia="仿宋_GB2312"/>
                    </w:rPr>
                    <w:t xml:space="preserve"> </w:t>
                  </w:r>
                  <w:r>
                    <w:rPr>
                      <w:rFonts w:ascii="仿宋_GB2312" w:hAnsi="仿宋_GB2312" w:cs="仿宋_GB2312" w:eastAsia="仿宋_GB2312"/>
                      <w:sz w:val="24"/>
                    </w:rPr>
                    <w:t>符合</w:t>
                  </w:r>
                  <w:r>
                    <w:rPr>
                      <w:rFonts w:ascii="仿宋_GB2312" w:hAnsi="仿宋_GB2312" w:cs="仿宋_GB2312" w:eastAsia="仿宋_GB2312"/>
                      <w:sz w:val="24"/>
                    </w:rPr>
                    <w:t>GB 7718《食品安全国家标准预包装食品标签通则》要求。尺</w:t>
                  </w:r>
                  <w:r>
                    <w:rPr>
                      <w:rFonts w:ascii="仿宋_GB2312" w:hAnsi="仿宋_GB2312" w:cs="仿宋_GB2312" w:eastAsia="仿宋_GB2312"/>
                      <w:sz w:val="24"/>
                    </w:rPr>
                    <w:t>寸适配内装产品，摆放稳固，无晃动，避免产品相互挤压损坏。礼</w:t>
                  </w:r>
                  <w:r>
                    <w:rPr>
                      <w:rFonts w:ascii="仿宋_GB2312" w:hAnsi="仿宋_GB2312" w:cs="仿宋_GB2312" w:eastAsia="仿宋_GB2312"/>
                      <w:sz w:val="24"/>
                    </w:rPr>
                    <w:t>品盒上需注明生产日期、保质期、配料表、生产厂家等标识信息。</w:t>
                  </w:r>
                </w:p>
              </w:tc>
            </w:tr>
          </w:tbl>
          <w:tbl>
            <w:tblPr>
              <w:tblInd w:type="dxa" w:w="120"/>
              <w:tblBorders>
                <w:top w:val="none" w:color="000000" w:sz="4"/>
                <w:left w:val="none" w:color="000000" w:sz="4"/>
                <w:bottom w:val="none" w:color="000000" w:sz="4"/>
                <w:right w:val="none" w:color="000000" w:sz="4"/>
                <w:insideH w:val="none"/>
                <w:insideV w:val="none"/>
              </w:tblBorders>
            </w:tblPr>
            <w:tblGrid>
              <w:gridCol w:w="206"/>
              <w:gridCol w:w="363"/>
              <w:gridCol w:w="1974"/>
            </w:tblGrid>
            <w:tr>
              <w:tc>
                <w:tcPr>
                  <w:tcW w:type="dxa" w:w="2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3</w:t>
                  </w:r>
                </w:p>
              </w:tc>
              <w:tc>
                <w:tcPr>
                  <w:tcW w:type="dxa" w:w="3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水晶饼</w:t>
                  </w:r>
                </w:p>
              </w:tc>
              <w:tc>
                <w:tcPr>
                  <w:tcW w:type="dxa" w:w="19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0" w:firstLine="207"/>
                  </w:pPr>
                  <w:r>
                    <w:rPr>
                      <w:rFonts w:ascii="仿宋_GB2312" w:hAnsi="仿宋_GB2312" w:cs="仿宋_GB2312" w:eastAsia="仿宋_GB2312"/>
                      <w:sz w:val="24"/>
                    </w:rPr>
                    <w:t>1.执行标准：符合GB/T 20977《糕点质量通则》、GB 7099《食</w:t>
                  </w:r>
                  <w:r>
                    <w:rPr>
                      <w:rFonts w:ascii="仿宋_GB2312" w:hAnsi="仿宋_GB2312" w:cs="仿宋_GB2312" w:eastAsia="仿宋_GB2312"/>
                    </w:rPr>
                    <w:t xml:space="preserve"> </w:t>
                  </w:r>
                  <w:r>
                    <w:rPr>
                      <w:rFonts w:ascii="仿宋_GB2312" w:hAnsi="仿宋_GB2312" w:cs="仿宋_GB2312" w:eastAsia="仿宋_GB2312"/>
                      <w:sz w:val="24"/>
                    </w:rPr>
                    <w:t>品安全国家标准糕点、面包》及</w:t>
                  </w:r>
                  <w:r>
                    <w:rPr>
                      <w:rFonts w:ascii="仿宋_GB2312" w:hAnsi="仿宋_GB2312" w:cs="仿宋_GB2312" w:eastAsia="仿宋_GB2312"/>
                      <w:sz w:val="24"/>
                    </w:rPr>
                    <w:t>Q/TL 0021S-2019相关技术要求。</w:t>
                  </w:r>
                </w:p>
                <w:p>
                  <w:pPr>
                    <w:pStyle w:val="null3"/>
                    <w:spacing w:before="105"/>
                    <w:ind w:left="105" w:firstLine="220"/>
                  </w:pPr>
                  <w:r>
                    <w:rPr>
                      <w:rFonts w:ascii="仿宋_GB2312" w:hAnsi="仿宋_GB2312" w:cs="仿宋_GB2312" w:eastAsia="仿宋_GB2312"/>
                      <w:sz w:val="24"/>
                    </w:rPr>
                    <w:t>2.口感要求：口感细腻、香甜软糯，无生硬感、焦糊味；形态规</w:t>
                  </w:r>
                  <w:r>
                    <w:rPr>
                      <w:rFonts w:ascii="仿宋_GB2312" w:hAnsi="仿宋_GB2312" w:cs="仿宋_GB2312" w:eastAsia="仿宋_GB2312"/>
                    </w:rPr>
                    <w:t xml:space="preserve"> </w:t>
                  </w:r>
                  <w:r>
                    <w:rPr>
                      <w:rFonts w:ascii="仿宋_GB2312" w:hAnsi="仿宋_GB2312" w:cs="仿宋_GB2312" w:eastAsia="仿宋_GB2312"/>
                      <w:sz w:val="24"/>
                    </w:rPr>
                    <w:t>整，无开裂、露馅现象；无肉眼可见杂质。</w:t>
                  </w:r>
                </w:p>
                <w:p>
                  <w:pPr>
                    <w:pStyle w:val="null3"/>
                    <w:spacing w:before="105"/>
                    <w:ind w:left="120" w:firstLine="219"/>
                  </w:pPr>
                  <w:r>
                    <w:rPr>
                      <w:rFonts w:ascii="仿宋_GB2312" w:hAnsi="仿宋_GB2312" w:cs="仿宋_GB2312" w:eastAsia="仿宋_GB2312"/>
                      <w:sz w:val="24"/>
                    </w:rPr>
                    <w:t>3.规格要求：≥500g,每盒内独立包装，包装需密封完好，无破</w:t>
                  </w:r>
                  <w:r>
                    <w:rPr>
                      <w:rFonts w:ascii="仿宋_GB2312" w:hAnsi="仿宋_GB2312" w:cs="仿宋_GB2312" w:eastAsia="仿宋_GB2312"/>
                    </w:rPr>
                    <w:t xml:space="preserve"> </w:t>
                  </w:r>
                  <w:r>
                    <w:rPr>
                      <w:rFonts w:ascii="仿宋_GB2312" w:hAnsi="仿宋_GB2312" w:cs="仿宋_GB2312" w:eastAsia="仿宋_GB2312"/>
                      <w:sz w:val="24"/>
                    </w:rPr>
                    <w:t>损、无漏气。</w:t>
                  </w:r>
                </w:p>
                <w:p>
                  <w:pPr>
                    <w:pStyle w:val="null3"/>
                    <w:spacing w:before="105"/>
                    <w:ind w:left="120" w:firstLine="216"/>
                  </w:pPr>
                  <w:r>
                    <w:rPr>
                      <w:rFonts w:ascii="仿宋_GB2312" w:hAnsi="仿宋_GB2312" w:cs="仿宋_GB2312" w:eastAsia="仿宋_GB2312"/>
                      <w:sz w:val="24"/>
                    </w:rPr>
                    <w:t>4.包装要求：产品必须装于礼品盒中，礼品盒符合绿色包装要求，</w:t>
                  </w:r>
                  <w:r>
                    <w:rPr>
                      <w:rFonts w:ascii="仿宋_GB2312" w:hAnsi="仿宋_GB2312" w:cs="仿宋_GB2312" w:eastAsia="仿宋_GB2312"/>
                    </w:rPr>
                    <w:t xml:space="preserve"> </w:t>
                  </w:r>
                  <w:r>
                    <w:rPr>
                      <w:rFonts w:ascii="仿宋_GB2312" w:hAnsi="仿宋_GB2312" w:cs="仿宋_GB2312" w:eastAsia="仿宋_GB2312"/>
                      <w:sz w:val="24"/>
                    </w:rPr>
                    <w:t>符合</w:t>
                  </w:r>
                  <w:r>
                    <w:rPr>
                      <w:rFonts w:ascii="仿宋_GB2312" w:hAnsi="仿宋_GB2312" w:cs="仿宋_GB2312" w:eastAsia="仿宋_GB2312"/>
                      <w:sz w:val="24"/>
                    </w:rPr>
                    <w:t>GB 7718《食品安全国家标准预包装食品标签通则》要求。尺</w:t>
                  </w:r>
                  <w:r>
                    <w:rPr>
                      <w:rFonts w:ascii="仿宋_GB2312" w:hAnsi="仿宋_GB2312" w:cs="仿宋_GB2312" w:eastAsia="仿宋_GB2312"/>
                      <w:sz w:val="24"/>
                    </w:rPr>
                    <w:t>寸适配内装产品，摆放稳固，无晃动，避免产品相互挤压损坏。礼</w:t>
                  </w:r>
                  <w:r>
                    <w:rPr>
                      <w:rFonts w:ascii="仿宋_GB2312" w:hAnsi="仿宋_GB2312" w:cs="仿宋_GB2312" w:eastAsia="仿宋_GB2312"/>
                      <w:sz w:val="24"/>
                    </w:rPr>
                    <w:t>品盒上需注明生产日期、保质期、配料表、生产厂家等标识信息。</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4</w:t>
                  </w:r>
                </w:p>
              </w:tc>
              <w:tc>
                <w:tcPr>
                  <w:tcW w:type="dxa" w:w="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面</w:t>
                  </w:r>
                </w:p>
                <w:p>
                  <w:pPr>
                    <w:pStyle w:val="null3"/>
                    <w:spacing w:before="90"/>
                    <w:ind w:left="165"/>
                  </w:pPr>
                  <w:r>
                    <w:rPr>
                      <w:rFonts w:ascii="仿宋_GB2312" w:hAnsi="仿宋_GB2312" w:cs="仿宋_GB2312" w:eastAsia="仿宋_GB2312"/>
                      <w:sz w:val="24"/>
                    </w:rPr>
                    <w:t>(小麦粉)</w:t>
                  </w:r>
                </w:p>
              </w:tc>
              <w:tc>
                <w:tcPr>
                  <w:tcW w:type="dxa" w:w="19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firstLine="216"/>
                  </w:pPr>
                  <w:r>
                    <w:rPr>
                      <w:rFonts w:ascii="仿宋_GB2312" w:hAnsi="仿宋_GB2312" w:cs="仿宋_GB2312" w:eastAsia="仿宋_GB2312"/>
                      <w:sz w:val="24"/>
                    </w:rPr>
                    <w:t>1.包装规范、完好，包装方式：袋装，每袋≥5Kg。</w:t>
                  </w:r>
                </w:p>
                <w:p>
                  <w:pPr>
                    <w:pStyle w:val="null3"/>
                    <w:spacing w:before="105"/>
                    <w:ind w:left="120" w:firstLine="216"/>
                  </w:pPr>
                  <w:r>
                    <w:rPr>
                      <w:rFonts w:ascii="仿宋_GB2312" w:hAnsi="仿宋_GB2312" w:cs="仿宋_GB2312" w:eastAsia="仿宋_GB2312"/>
                      <w:sz w:val="24"/>
                    </w:rPr>
                    <w:t>2.面粉色泽呈乳白色或淡黄色，不发暗，无杂质，无粗粒感，流散 性好，不结块，有自然的麦香味。</w:t>
                  </w:r>
                </w:p>
                <w:p>
                  <w:pPr>
                    <w:pStyle w:val="null3"/>
                    <w:spacing w:before="105"/>
                    <w:ind w:left="120" w:firstLine="216"/>
                  </w:pPr>
                  <w:r>
                    <w:rPr>
                      <w:rFonts w:ascii="仿宋_GB2312" w:hAnsi="仿宋_GB2312" w:cs="仿宋_GB2312" w:eastAsia="仿宋_GB2312"/>
                      <w:sz w:val="24"/>
                    </w:rPr>
                    <w:t>3.符合国家标准：符合GB/T1355-2021标准或国家最新标准。</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5</w:t>
                  </w:r>
                </w:p>
              </w:tc>
              <w:tc>
                <w:tcPr>
                  <w:tcW w:type="dxa" w:w="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油</w:t>
                  </w:r>
                </w:p>
                <w:p>
                  <w:pPr>
                    <w:pStyle w:val="null3"/>
                    <w:spacing w:before="75"/>
                    <w:ind w:left="165"/>
                  </w:pPr>
                  <w:r>
                    <w:rPr>
                      <w:rFonts w:ascii="仿宋_GB2312" w:hAnsi="仿宋_GB2312" w:cs="仿宋_GB2312" w:eastAsia="仿宋_GB2312"/>
                      <w:sz w:val="24"/>
                    </w:rPr>
                    <w:t>(菜籽油)</w:t>
                  </w:r>
                </w:p>
              </w:tc>
              <w:tc>
                <w:tcPr>
                  <w:tcW w:type="dxa" w:w="19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0" w:firstLine="44"/>
                  </w:pPr>
                  <w:r>
                    <w:rPr>
                      <w:rFonts w:ascii="仿宋_GB2312" w:hAnsi="仿宋_GB2312" w:cs="仿宋_GB2312" w:eastAsia="仿宋_GB2312"/>
                      <w:sz w:val="24"/>
                    </w:rPr>
                    <w:t>1.每个包装标签上标有清晰的“SC”生产许可证编号或有效期内的</w:t>
                  </w:r>
                  <w:r>
                    <w:rPr>
                      <w:rFonts w:ascii="仿宋_GB2312" w:hAnsi="仿宋_GB2312" w:cs="仿宋_GB2312" w:eastAsia="仿宋_GB2312"/>
                    </w:rPr>
                    <w:t xml:space="preserve"> </w:t>
                  </w:r>
                  <w:r>
                    <w:rPr>
                      <w:rFonts w:ascii="仿宋_GB2312" w:hAnsi="仿宋_GB2312" w:cs="仿宋_GB2312" w:eastAsia="仿宋_GB2312"/>
                      <w:sz w:val="24"/>
                    </w:rPr>
                    <w:t>“QS”生产许可证编号、非转基因标识、生产厂家、厂址、生产日</w:t>
                  </w:r>
                  <w:r>
                    <w:rPr>
                      <w:rFonts w:ascii="仿宋_GB2312" w:hAnsi="仿宋_GB2312" w:cs="仿宋_GB2312" w:eastAsia="仿宋_GB2312"/>
                      <w:sz w:val="24"/>
                    </w:rPr>
                    <w:t>期、保质期、产品标准号等标识。</w:t>
                  </w:r>
                </w:p>
                <w:p>
                  <w:pPr>
                    <w:pStyle w:val="null3"/>
                    <w:spacing w:before="105"/>
                    <w:ind w:left="105" w:right="15"/>
                  </w:pPr>
                  <w:r>
                    <w:rPr>
                      <w:rFonts w:ascii="仿宋_GB2312" w:hAnsi="仿宋_GB2312" w:cs="仿宋_GB2312" w:eastAsia="仿宋_GB2312"/>
                      <w:sz w:val="24"/>
                    </w:rPr>
                    <w:t>2.剩余保质期：产品在送达指定地点的保质期至少为产品保质期的</w:t>
                  </w:r>
                  <w:r>
                    <w:rPr>
                      <w:rFonts w:ascii="仿宋_GB2312" w:hAnsi="仿宋_GB2312" w:cs="仿宋_GB2312" w:eastAsia="仿宋_GB2312"/>
                    </w:rPr>
                    <w:t xml:space="preserve"> </w:t>
                  </w:r>
                  <w:r>
                    <w:rPr>
                      <w:rFonts w:ascii="仿宋_GB2312" w:hAnsi="仿宋_GB2312" w:cs="仿宋_GB2312" w:eastAsia="仿宋_GB2312"/>
                      <w:sz w:val="24"/>
                    </w:rPr>
                    <w:t>一半以上</w:t>
                  </w:r>
                  <w:r>
                    <w:rPr>
                      <w:rFonts w:ascii="仿宋_GB2312" w:hAnsi="仿宋_GB2312" w:cs="仿宋_GB2312" w:eastAsia="仿宋_GB2312"/>
                      <w:sz w:val="24"/>
                    </w:rPr>
                    <w:t>(自生产日期开始计算)。</w:t>
                  </w:r>
                </w:p>
                <w:p>
                  <w:pPr>
                    <w:pStyle w:val="null3"/>
                    <w:spacing w:before="75"/>
                    <w:ind w:left="120" w:right="15"/>
                  </w:pPr>
                  <w:r>
                    <w:rPr>
                      <w:rFonts w:ascii="仿宋_GB2312" w:hAnsi="仿宋_GB2312" w:cs="仿宋_GB2312" w:eastAsia="仿宋_GB2312"/>
                      <w:sz w:val="24"/>
                    </w:rPr>
                    <w:t>3.菜籽油必须为新鲜产品，油质优良，产品属于非转基因，无杂物</w:t>
                  </w:r>
                  <w:r>
                    <w:rPr>
                      <w:rFonts w:ascii="仿宋_GB2312" w:hAnsi="仿宋_GB2312" w:cs="仿宋_GB2312" w:eastAsia="仿宋_GB2312"/>
                    </w:rPr>
                    <w:t xml:space="preserve"> </w:t>
                  </w:r>
                  <w:r>
                    <w:rPr>
                      <w:rFonts w:ascii="仿宋_GB2312" w:hAnsi="仿宋_GB2312" w:cs="仿宋_GB2312" w:eastAsia="仿宋_GB2312"/>
                      <w:sz w:val="24"/>
                    </w:rPr>
                    <w:t>混入，无异味，无杂质沉淀、感官、性状好。</w:t>
                  </w:r>
                </w:p>
                <w:p>
                  <w:pPr>
                    <w:pStyle w:val="null3"/>
                    <w:spacing w:before="90"/>
                    <w:ind w:left="135" w:right="195"/>
                  </w:pPr>
                  <w:r>
                    <w:rPr>
                      <w:rFonts w:ascii="仿宋_GB2312" w:hAnsi="仿宋_GB2312" w:cs="仿宋_GB2312" w:eastAsia="仿宋_GB2312"/>
                      <w:sz w:val="24"/>
                    </w:rPr>
                    <w:t>4.菜籽油(压榨)需为国标一级，符合</w:t>
                  </w:r>
                  <w:r>
                    <w:rPr>
                      <w:rFonts w:ascii="仿宋_GB2312" w:hAnsi="仿宋_GB2312" w:cs="仿宋_GB2312" w:eastAsia="仿宋_GB2312"/>
                      <w:sz w:val="24"/>
                    </w:rPr>
                    <w:t>GB</w:t>
                  </w:r>
                  <w:r>
                    <w:rPr>
                      <w:rFonts w:ascii="仿宋_GB2312" w:hAnsi="仿宋_GB2312" w:cs="仿宋_GB2312" w:eastAsia="仿宋_GB2312"/>
                      <w:sz w:val="24"/>
                    </w:rPr>
                    <w:t>/T 15</w:t>
                  </w:r>
                  <w:r>
                    <w:rPr>
                      <w:rFonts w:ascii="仿宋_GB2312" w:hAnsi="仿宋_GB2312" w:cs="仿宋_GB2312" w:eastAsia="仿宋_GB2312"/>
                      <w:sz w:val="24"/>
                    </w:rPr>
                    <w:t>36标准，国家有出</w:t>
                  </w:r>
                  <w:r>
                    <w:rPr>
                      <w:rFonts w:ascii="仿宋_GB2312" w:hAnsi="仿宋_GB2312" w:cs="仿宋_GB2312" w:eastAsia="仿宋_GB2312"/>
                      <w:sz w:val="24"/>
                    </w:rPr>
                    <w:t>台新的更高标准的，以新的更高标准为准。</w:t>
                  </w:r>
                </w:p>
                <w:p>
                  <w:pPr>
                    <w:pStyle w:val="null3"/>
                    <w:spacing w:before="75"/>
                    <w:ind w:left="105"/>
                  </w:pPr>
                  <w:r>
                    <w:rPr>
                      <w:rFonts w:ascii="仿宋_GB2312" w:hAnsi="仿宋_GB2312" w:cs="仿宋_GB2312" w:eastAsia="仿宋_GB2312"/>
                      <w:sz w:val="24"/>
                    </w:rPr>
                    <w:t>5.包装应符合《食用植物油销售包装》,使用专用的一次性桶</w:t>
                  </w:r>
                  <w:r>
                    <w:rPr>
                      <w:rFonts w:ascii="仿宋_GB2312" w:hAnsi="仿宋_GB2312" w:cs="仿宋_GB2312" w:eastAsia="仿宋_GB2312"/>
                      <w:sz w:val="24"/>
                    </w:rPr>
                    <w:t>装，</w:t>
                  </w:r>
                  <w:r>
                    <w:rPr>
                      <w:rFonts w:ascii="仿宋_GB2312" w:hAnsi="仿宋_GB2312" w:cs="仿宋_GB2312" w:eastAsia="仿宋_GB2312"/>
                    </w:rPr>
                    <w:t xml:space="preserve"> </w:t>
                  </w:r>
                  <w:r>
                    <w:rPr>
                      <w:rFonts w:ascii="仿宋_GB2312" w:hAnsi="仿宋_GB2312" w:cs="仿宋_GB2312" w:eastAsia="仿宋_GB2312"/>
                      <w:sz w:val="24"/>
                    </w:rPr>
                    <w:t>包装完好严密，瓶口无油迹等渗漏现象。每桶</w:t>
                  </w:r>
                  <w:r>
                    <w:rPr>
                      <w:rFonts w:ascii="仿宋_GB2312" w:hAnsi="仿宋_GB2312" w:cs="仿宋_GB2312" w:eastAsia="仿宋_GB2312"/>
                      <w:sz w:val="24"/>
                    </w:rPr>
                    <w:t>≥1.8L。</w:t>
                  </w:r>
                </w:p>
              </w:tc>
            </w:tr>
          </w:tbl>
          <w:tbl>
            <w:tblPr>
              <w:tblInd w:type="dxa" w:w="120"/>
              <w:tblBorders>
                <w:top w:val="none" w:color="000000" w:sz="4"/>
                <w:left w:val="none" w:color="000000" w:sz="4"/>
                <w:bottom w:val="none" w:color="000000" w:sz="4"/>
                <w:right w:val="none" w:color="000000" w:sz="4"/>
                <w:insideH w:val="none"/>
                <w:insideV w:val="none"/>
              </w:tblBorders>
            </w:tblPr>
            <w:tblGrid>
              <w:gridCol w:w="206"/>
              <w:gridCol w:w="367"/>
              <w:gridCol w:w="1975"/>
            </w:tblGrid>
            <w:tr>
              <w:tc>
                <w:tcPr>
                  <w:tcW w:type="dxa" w:w="2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6</w:t>
                  </w:r>
                </w:p>
              </w:tc>
              <w:tc>
                <w:tcPr>
                  <w:tcW w:type="dxa" w:w="3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挂面</w:t>
                  </w:r>
                </w:p>
              </w:tc>
              <w:tc>
                <w:tcPr>
                  <w:tcW w:type="dxa" w:w="19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90" w:right="15" w:firstLine="259"/>
                  </w:pPr>
                  <w:r>
                    <w:rPr>
                      <w:rFonts w:ascii="仿宋_GB2312" w:hAnsi="仿宋_GB2312" w:cs="仿宋_GB2312" w:eastAsia="仿宋_GB2312"/>
                      <w:sz w:val="24"/>
                    </w:rPr>
                    <w:t>1.选用优质小麦加工而成，不得使用陈化粮、霉</w:t>
                  </w:r>
                  <w:r>
                    <w:rPr>
                      <w:rFonts w:ascii="仿宋_GB2312" w:hAnsi="仿宋_GB2312" w:cs="仿宋_GB2312" w:eastAsia="仿宋_GB2312"/>
                      <w:sz w:val="24"/>
                    </w:rPr>
                    <w:t>变或受污染的小</w:t>
                  </w:r>
                  <w:r>
                    <w:rPr>
                      <w:rFonts w:ascii="仿宋_GB2312" w:hAnsi="仿宋_GB2312" w:cs="仿宋_GB2312" w:eastAsia="仿宋_GB2312"/>
                    </w:rPr>
                    <w:t xml:space="preserve"> </w:t>
                  </w:r>
                  <w:r>
                    <w:rPr>
                      <w:rFonts w:ascii="仿宋_GB2312" w:hAnsi="仿宋_GB2312" w:cs="仿宋_GB2312" w:eastAsia="仿宋_GB2312"/>
                      <w:sz w:val="24"/>
                    </w:rPr>
                    <w:t>麦粉，使用的食品添加剂种类及用量应符合</w:t>
                  </w:r>
                  <w:r>
                    <w:rPr>
                      <w:rFonts w:ascii="仿宋_GB2312" w:hAnsi="仿宋_GB2312" w:cs="仿宋_GB2312" w:eastAsia="仿宋_GB2312"/>
                      <w:sz w:val="24"/>
                    </w:rPr>
                    <w:t>GB 2760的规定，严禁</w:t>
                  </w:r>
                  <w:r>
                    <w:rPr>
                      <w:rFonts w:ascii="仿宋_GB2312" w:hAnsi="仿宋_GB2312" w:cs="仿宋_GB2312" w:eastAsia="仿宋_GB2312"/>
                    </w:rPr>
                    <w:t xml:space="preserve"> </w:t>
                  </w:r>
                  <w:r>
                    <w:rPr>
                      <w:rFonts w:ascii="仿宋_GB2312" w:hAnsi="仿宋_GB2312" w:cs="仿宋_GB2312" w:eastAsia="仿宋_GB2312"/>
                      <w:sz w:val="24"/>
                    </w:rPr>
                    <w:t>添加非食用物质。</w:t>
                  </w:r>
                </w:p>
                <w:p>
                  <w:pPr>
                    <w:pStyle w:val="null3"/>
                    <w:spacing w:before="90"/>
                    <w:ind w:left="105" w:right="15" w:firstLine="239"/>
                  </w:pPr>
                  <w:r>
                    <w:rPr>
                      <w:rFonts w:ascii="仿宋_GB2312" w:hAnsi="仿宋_GB2312" w:cs="仿宋_GB2312" w:eastAsia="仿宋_GB2312"/>
                      <w:sz w:val="24"/>
                    </w:rPr>
                    <w:t>2.具有麦香味、无酸味、霉味及其他异味，色泽</w:t>
                  </w:r>
                  <w:r>
                    <w:rPr>
                      <w:rFonts w:ascii="仿宋_GB2312" w:hAnsi="仿宋_GB2312" w:cs="仿宋_GB2312" w:eastAsia="仿宋_GB2312"/>
                      <w:sz w:val="24"/>
                    </w:rPr>
                    <w:t>均匀一致、无霉</w:t>
                  </w:r>
                  <w:r>
                    <w:rPr>
                      <w:rFonts w:ascii="仿宋_GB2312" w:hAnsi="仿宋_GB2312" w:cs="仿宋_GB2312" w:eastAsia="仿宋_GB2312"/>
                    </w:rPr>
                    <w:t xml:space="preserve"> </w:t>
                  </w:r>
                  <w:r>
                    <w:rPr>
                      <w:rFonts w:ascii="仿宋_GB2312" w:hAnsi="仿宋_GB2312" w:cs="仿宋_GB2312" w:eastAsia="仿宋_GB2312"/>
                      <w:sz w:val="24"/>
                    </w:rPr>
                    <w:t>点、黄斑，条形均匀、挺直、无并条、无碎条，表面光滑，无明显</w:t>
                  </w:r>
                  <w:r>
                    <w:rPr>
                      <w:rFonts w:ascii="仿宋_GB2312" w:hAnsi="仿宋_GB2312" w:cs="仿宋_GB2312" w:eastAsia="仿宋_GB2312"/>
                    </w:rPr>
                    <w:t xml:space="preserve"> </w:t>
                  </w:r>
                  <w:r>
                    <w:rPr>
                      <w:rFonts w:ascii="仿宋_GB2312" w:hAnsi="仿宋_GB2312" w:cs="仿宋_GB2312" w:eastAsia="仿宋_GB2312"/>
                      <w:sz w:val="24"/>
                    </w:rPr>
                    <w:t>杂质，煮熟后口感爽滑、不糊汤、不粘连，有嚼劲。</w:t>
                  </w:r>
                </w:p>
                <w:p>
                  <w:pPr>
                    <w:pStyle w:val="null3"/>
                    <w:spacing w:before="90"/>
                    <w:ind w:left="90" w:firstLine="227"/>
                  </w:pPr>
                  <w:r>
                    <w:rPr>
                      <w:rFonts w:ascii="仿宋_GB2312" w:hAnsi="仿宋_GB2312" w:cs="仿宋_GB2312" w:eastAsia="仿宋_GB2312"/>
                      <w:sz w:val="24"/>
                    </w:rPr>
                    <w:t>3.规格：≥2.5kg,每盒内独立包装，包装需密封</w:t>
                  </w:r>
                  <w:r>
                    <w:rPr>
                      <w:rFonts w:ascii="仿宋_GB2312" w:hAnsi="仿宋_GB2312" w:cs="仿宋_GB2312" w:eastAsia="仿宋_GB2312"/>
                      <w:sz w:val="24"/>
                    </w:rPr>
                    <w:t>完好，无破损、</w:t>
                  </w:r>
                  <w:r>
                    <w:rPr>
                      <w:rFonts w:ascii="仿宋_GB2312" w:hAnsi="仿宋_GB2312" w:cs="仿宋_GB2312" w:eastAsia="仿宋_GB2312"/>
                    </w:rPr>
                    <w:t xml:space="preserve"> </w:t>
                  </w:r>
                  <w:r>
                    <w:rPr>
                      <w:rFonts w:ascii="仿宋_GB2312" w:hAnsi="仿宋_GB2312" w:cs="仿宋_GB2312" w:eastAsia="仿宋_GB2312"/>
                      <w:sz w:val="24"/>
                    </w:rPr>
                    <w:t>无漏气。</w:t>
                  </w:r>
                </w:p>
                <w:p>
                  <w:pPr>
                    <w:pStyle w:val="null3"/>
                    <w:spacing w:before="105"/>
                    <w:ind w:left="105" w:firstLine="206"/>
                  </w:pPr>
                  <w:r>
                    <w:rPr>
                      <w:rFonts w:ascii="仿宋_GB2312" w:hAnsi="仿宋_GB2312" w:cs="仿宋_GB2312" w:eastAsia="仿宋_GB2312"/>
                      <w:sz w:val="24"/>
                    </w:rPr>
                    <w:t>4.包装要求：产品必须装于礼品盒中，礼品盒符合绿色包装要求，</w:t>
                  </w:r>
                  <w:r>
                    <w:rPr>
                      <w:rFonts w:ascii="仿宋_GB2312" w:hAnsi="仿宋_GB2312" w:cs="仿宋_GB2312" w:eastAsia="仿宋_GB2312"/>
                    </w:rPr>
                    <w:t xml:space="preserve"> </w:t>
                  </w:r>
                  <w:r>
                    <w:rPr>
                      <w:rFonts w:ascii="仿宋_GB2312" w:hAnsi="仿宋_GB2312" w:cs="仿宋_GB2312" w:eastAsia="仿宋_GB2312"/>
                      <w:sz w:val="24"/>
                    </w:rPr>
                    <w:t>符合</w:t>
                  </w:r>
                  <w:r>
                    <w:rPr>
                      <w:rFonts w:ascii="仿宋_GB2312" w:hAnsi="仿宋_GB2312" w:cs="仿宋_GB2312" w:eastAsia="仿宋_GB2312"/>
                      <w:sz w:val="24"/>
                    </w:rPr>
                    <w:t>GB 7718《食品安全国家标准预包装食品标签通则》要求。尺</w:t>
                  </w:r>
                  <w:r>
                    <w:rPr>
                      <w:rFonts w:ascii="仿宋_GB2312" w:hAnsi="仿宋_GB2312" w:cs="仿宋_GB2312" w:eastAsia="仿宋_GB2312"/>
                      <w:sz w:val="24"/>
                    </w:rPr>
                    <w:t>寸适配内装产品，摆放稳固，无晃动，避免产品相互挤压损坏。礼</w:t>
                  </w:r>
                  <w:r>
                    <w:rPr>
                      <w:rFonts w:ascii="仿宋_GB2312" w:hAnsi="仿宋_GB2312" w:cs="仿宋_GB2312" w:eastAsia="仿宋_GB2312"/>
                      <w:sz w:val="24"/>
                    </w:rPr>
                    <w:t>品盒上需注明生产日期、保质期、配料表、生产厂家等标识</w:t>
                  </w:r>
                  <w:r>
                    <w:rPr>
                      <w:rFonts w:ascii="仿宋_GB2312" w:hAnsi="仿宋_GB2312" w:cs="仿宋_GB2312" w:eastAsia="仿宋_GB2312"/>
                      <w:sz w:val="24"/>
                    </w:rPr>
                    <w:t>信息。</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三、报价要求</w:t>
            </w:r>
          </w:p>
          <w:p>
            <w:pPr>
              <w:pStyle w:val="null3"/>
              <w:ind w:firstLine="480"/>
              <w:jc w:val="both"/>
            </w:pPr>
            <w:r>
              <w:rPr>
                <w:rFonts w:ascii="仿宋_GB2312" w:hAnsi="仿宋_GB2312" w:cs="仿宋_GB2312" w:eastAsia="仿宋_GB2312"/>
                <w:sz w:val="24"/>
              </w:rPr>
              <w:t>1、供应商报价包含产 品费、配送费、包装费、运输费、验收费、管理费、税金等所有费用。</w:t>
            </w:r>
          </w:p>
          <w:p>
            <w:pPr>
              <w:pStyle w:val="null3"/>
              <w:ind w:firstLine="480"/>
              <w:jc w:val="both"/>
            </w:pPr>
            <w:r>
              <w:rPr>
                <w:rFonts w:ascii="仿宋_GB2312" w:hAnsi="仿宋_GB2312" w:cs="仿宋_GB2312" w:eastAsia="仿宋_GB2312"/>
                <w:sz w:val="24"/>
              </w:rPr>
              <w:t>2、最高总限价：560000.00元；综合单价限价：280元/人/套；产品分项限价如下：</w:t>
            </w:r>
          </w:p>
          <w:tbl>
            <w:tblPr>
              <w:tblBorders>
                <w:top w:val="none" w:color="000000" w:sz="4"/>
                <w:left w:val="none" w:color="000000" w:sz="4"/>
                <w:bottom w:val="none" w:color="000000" w:sz="4"/>
                <w:right w:val="none" w:color="000000" w:sz="4"/>
                <w:insideH w:val="none"/>
                <w:insideV w:val="none"/>
              </w:tblBorders>
            </w:tblPr>
            <w:tblGrid>
              <w:gridCol w:w="232"/>
              <w:gridCol w:w="1045"/>
              <w:gridCol w:w="456"/>
              <w:gridCol w:w="411"/>
              <w:gridCol w:w="406"/>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0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采购标的</w:t>
                  </w:r>
                  <w:r>
                    <w:rPr>
                      <w:rFonts w:ascii="仿宋_GB2312" w:hAnsi="仿宋_GB2312" w:cs="仿宋_GB2312" w:eastAsia="仿宋_GB2312"/>
                      <w:sz w:val="24"/>
                      <w:b/>
                    </w:rPr>
                    <w:t>名称</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暂定</w:t>
                  </w:r>
                  <w:r>
                    <w:rPr>
                      <w:rFonts w:ascii="仿宋_GB2312" w:hAnsi="仿宋_GB2312" w:cs="仿宋_GB2312" w:eastAsia="仿宋_GB2312"/>
                      <w:sz w:val="24"/>
                      <w:b/>
                    </w:rPr>
                    <w:t>数量</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单价限价</w:t>
                  </w:r>
                </w:p>
                <w:p>
                  <w:pPr>
                    <w:pStyle w:val="null3"/>
                    <w:jc w:val="center"/>
                  </w:pPr>
                  <w:r>
                    <w:rPr>
                      <w:rFonts w:ascii="仿宋_GB2312" w:hAnsi="仿宋_GB2312" w:cs="仿宋_GB2312" w:eastAsia="仿宋_GB2312"/>
                      <w:sz w:val="24"/>
                      <w:b/>
                    </w:rPr>
                    <w:t>（元</w:t>
                  </w:r>
                  <w:r>
                    <w:rPr>
                      <w:rFonts w:ascii="仿宋_GB2312" w:hAnsi="仿宋_GB2312" w:cs="仿宋_GB2312" w:eastAsia="仿宋_GB2312"/>
                      <w:sz w:val="24"/>
                      <w:b/>
                    </w:rPr>
                    <w:t>/份）</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4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火锅底料（每份含番茄、清油、牛油三种口味）</w:t>
                  </w:r>
                </w:p>
              </w:tc>
              <w:tc>
                <w:tcPr>
                  <w:tcW w:type="dxa" w:w="4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每种</w:t>
                  </w:r>
                  <w:r>
                    <w:rPr>
                      <w:rFonts w:ascii="仿宋_GB2312" w:hAnsi="仿宋_GB2312" w:cs="仿宋_GB2312" w:eastAsia="仿宋_GB2312"/>
                      <w:sz w:val="24"/>
                      <w:color w:val="000000"/>
                    </w:rPr>
                    <w:t>≧450g</w:t>
                  </w:r>
                </w:p>
              </w:tc>
              <w:tc>
                <w:tcPr>
                  <w:tcW w:type="dxa" w:w="4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2000份</w:t>
                  </w:r>
                </w:p>
              </w:tc>
              <w:tc>
                <w:tcPr>
                  <w:tcW w:type="dxa" w:w="4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0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桃酥</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2000份</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水晶饼</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2000份</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小麦粉</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≧5kg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2000份</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菜籽油</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≧1.8L</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2000份</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挂面</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≧2.5kg</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2000份</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bl>
          <w:p>
            <w:pPr>
              <w:pStyle w:val="null3"/>
              <w:ind w:firstLine="480"/>
              <w:jc w:val="both"/>
            </w:pPr>
            <w:r>
              <w:rPr>
                <w:rFonts w:ascii="仿宋_GB2312" w:hAnsi="仿宋_GB2312" w:cs="仿宋_GB2312" w:eastAsia="仿宋_GB2312"/>
                <w:sz w:val="24"/>
              </w:rPr>
              <w:t>供应商报价不得超过总价、综合单价、产品分项单价的限价，否则按无效报价处理。</w:t>
            </w:r>
          </w:p>
          <w:p>
            <w:pPr>
              <w:pStyle w:val="null3"/>
              <w:ind w:firstLine="482"/>
              <w:jc w:val="both"/>
            </w:pPr>
            <w:r>
              <w:rPr>
                <w:rFonts w:ascii="仿宋_GB2312" w:hAnsi="仿宋_GB2312" w:cs="仿宋_GB2312" w:eastAsia="仿宋_GB2312"/>
                <w:sz w:val="24"/>
                <w:b/>
              </w:rPr>
              <w:t>四、履约要求</w:t>
            </w:r>
          </w:p>
          <w:p>
            <w:pPr>
              <w:pStyle w:val="null3"/>
              <w:ind w:firstLine="482"/>
              <w:jc w:val="both"/>
            </w:pPr>
            <w:r>
              <w:rPr>
                <w:rFonts w:ascii="仿宋_GB2312" w:hAnsi="仿宋_GB2312" w:cs="仿宋_GB2312" w:eastAsia="仿宋_GB2312"/>
                <w:sz w:val="24"/>
                <w:b/>
              </w:rPr>
              <w:t>1.包装、标识要求</w:t>
            </w:r>
          </w:p>
          <w:p>
            <w:pPr>
              <w:pStyle w:val="null3"/>
              <w:ind w:firstLine="480"/>
              <w:jc w:val="both"/>
            </w:pPr>
            <w:r>
              <w:rPr>
                <w:rFonts w:ascii="仿宋_GB2312" w:hAnsi="仿宋_GB2312" w:cs="仿宋_GB2312" w:eastAsia="仿宋_GB2312"/>
                <w:sz w:val="24"/>
              </w:rPr>
              <w:t>(1)经确认配送的品牌和包装，内外包装应完整卫生，无受潮无 破漏，真空包装无漏气/膨胀情况，内包装物应无破损，配送的货品形 状完好无损。包装材料应符合相应的国家标准。容器(框箱、袋)要求清洁、干燥、牢固、透气无污染、无异味、无霉变现象。包装容器不得使用玻璃、金属等可能存在安全隐患的材质。</w:t>
            </w:r>
          </w:p>
          <w:p>
            <w:pPr>
              <w:pStyle w:val="null3"/>
              <w:ind w:firstLine="480"/>
              <w:jc w:val="both"/>
            </w:pPr>
            <w:r>
              <w:rPr>
                <w:rFonts w:ascii="仿宋_GB2312" w:hAnsi="仿宋_GB2312" w:cs="仿宋_GB2312" w:eastAsia="仿宋_GB2312"/>
                <w:sz w:val="24"/>
              </w:rPr>
              <w:t>(2)所供产品必须符合国家行业生产及经营标准，产品包装标签  应符合《食品安全国家标准预包装食品标签通则》 (GB7718) 要求，包 括产品名称、配料表、净含量、规格、生产者(或)经销者的名称、地 址和联系方式、生产日期和保质期、贮存条件、食品生产许可证编号、 产品标准代号等内容，标签上附有产地、食品安全等溯源信息。</w:t>
            </w:r>
          </w:p>
          <w:p>
            <w:pPr>
              <w:pStyle w:val="null3"/>
              <w:ind w:firstLine="482"/>
              <w:jc w:val="both"/>
            </w:pPr>
            <w:r>
              <w:rPr>
                <w:rFonts w:ascii="仿宋_GB2312" w:hAnsi="仿宋_GB2312" w:cs="仿宋_GB2312" w:eastAsia="仿宋_GB2312"/>
                <w:sz w:val="24"/>
                <w:b/>
              </w:rPr>
              <w:t>2.产品采购要求</w:t>
            </w:r>
          </w:p>
          <w:p>
            <w:pPr>
              <w:pStyle w:val="null3"/>
              <w:ind w:firstLine="480"/>
              <w:jc w:val="both"/>
            </w:pPr>
            <w:r>
              <w:rPr>
                <w:rFonts w:ascii="仿宋_GB2312" w:hAnsi="仿宋_GB2312" w:cs="仿宋_GB2312" w:eastAsia="仿宋_GB2312"/>
                <w:sz w:val="24"/>
              </w:rPr>
              <w:t>(1)所有产品的来源必须清晰，保质期在2个月以上，收货日期 距保质期仍有2/3或以上，保质期2个月以下，收货日期距保质期仍 有1/2或以上。同一批次同一种货物需附相应合格证明、检测报告等 以能证明其货物属于质量合格产品的证件，以备核验。</w:t>
            </w:r>
          </w:p>
          <w:p>
            <w:pPr>
              <w:pStyle w:val="null3"/>
              <w:ind w:firstLine="480"/>
              <w:jc w:val="both"/>
            </w:pPr>
            <w:r>
              <w:rPr>
                <w:rFonts w:ascii="仿宋_GB2312" w:hAnsi="仿宋_GB2312" w:cs="仿宋_GB2312" w:eastAsia="仿宋_GB2312"/>
                <w:sz w:val="24"/>
              </w:rPr>
              <w:t>(2)采购的产品须具有追踪溯源体系，采购的产品须是新鲜、低 农残、无污染的；产品须是正规厂家并具有合格证书且无任何添加剂 的优质产品；严格按照要求采购；因运输装卸过程中造成的损耗(例如 包装严重变形、破损、食品污染、变异等),必须无条件及时更换。</w:t>
            </w:r>
          </w:p>
          <w:p>
            <w:pPr>
              <w:pStyle w:val="null3"/>
              <w:ind w:firstLine="480"/>
              <w:jc w:val="both"/>
            </w:pPr>
            <w:r>
              <w:rPr>
                <w:rFonts w:ascii="仿宋_GB2312" w:hAnsi="仿宋_GB2312" w:cs="仿宋_GB2312" w:eastAsia="仿宋_GB2312"/>
                <w:sz w:val="24"/>
              </w:rPr>
              <w:t>(3)产品采购从产品生产单位、批发市场等采购的，应当查验、 索取并留存供货者的相关许可证和产品合格证明等文件；从固定供货 商或者供货基地采购的，应当查验、索取并留存供货商或者供货基地 的资质证明、每笔供货清单等；从超市、农贸市场、个体工商户、农户 等采购的，应当索取并留存采购清单等有关凭证，做到源头可控，有 据可查。</w:t>
            </w:r>
          </w:p>
          <w:p>
            <w:pPr>
              <w:pStyle w:val="null3"/>
              <w:ind w:firstLine="482"/>
              <w:jc w:val="both"/>
            </w:pPr>
            <w:r>
              <w:rPr>
                <w:rFonts w:ascii="仿宋_GB2312" w:hAnsi="仿宋_GB2312" w:cs="仿宋_GB2312" w:eastAsia="仿宋_GB2312"/>
                <w:sz w:val="24"/>
                <w:b/>
              </w:rPr>
              <w:t>3.产品配送要求</w:t>
            </w:r>
          </w:p>
          <w:p>
            <w:pPr>
              <w:pStyle w:val="null3"/>
              <w:ind w:firstLine="480"/>
              <w:jc w:val="both"/>
            </w:pPr>
            <w:r>
              <w:rPr>
                <w:rFonts w:ascii="仿宋_GB2312" w:hAnsi="仿宋_GB2312" w:cs="仿宋_GB2312" w:eastAsia="仿宋_GB2312"/>
                <w:sz w:val="24"/>
              </w:rPr>
              <w:t>(1)供应商提供的产品数量满足采购人实际需求，配送新鲜的产品，保证产品的食品安全；凡配送的产品质量、数量与要求不符时，采购人有权拒收，并由供应商承担由此造成的直接经济损失。如遇特殊 情况，供应商应在接到产品清单三小时内运送到指定的地点。</w:t>
            </w:r>
          </w:p>
          <w:p>
            <w:pPr>
              <w:pStyle w:val="null3"/>
              <w:ind w:firstLine="480"/>
              <w:jc w:val="both"/>
            </w:pPr>
            <w:r>
              <w:rPr>
                <w:rFonts w:ascii="仿宋_GB2312" w:hAnsi="仿宋_GB2312" w:cs="仿宋_GB2312" w:eastAsia="仿宋_GB2312"/>
                <w:sz w:val="24"/>
              </w:rPr>
              <w:t>(2)运输工具、配送人员、包装材料和运输途中的防护措施必须 符合相关规定和要求。配送车辆和人员进入单位，必须遵守采购人相 关规定。</w:t>
            </w:r>
          </w:p>
          <w:p>
            <w:pPr>
              <w:pStyle w:val="null3"/>
              <w:ind w:firstLine="480"/>
              <w:jc w:val="both"/>
            </w:pPr>
            <w:r>
              <w:rPr>
                <w:rFonts w:ascii="仿宋_GB2312" w:hAnsi="仿宋_GB2312" w:cs="仿宋_GB2312" w:eastAsia="仿宋_GB2312"/>
                <w:sz w:val="24"/>
              </w:rPr>
              <w:t>(3)供应商针对此次保障项目，应在公司内部指定专门的人员负 责，配备专用运输车进行配送保障(专车专用，如更换车辆需提前报备 新车辆信息),到达指定地点时，由供应商负责卸货搬运。食品运输必 须采用符合卫生标准的外包装和运载工具，并且要保持清洁和定期消 毒。车厢内无不良气味、异味。整个运输过程应科学合理，运输车辆 应定期清洁。食品堆放科学合理避免造成食品的交叉污染。</w:t>
            </w:r>
          </w:p>
          <w:p>
            <w:pPr>
              <w:pStyle w:val="null3"/>
              <w:ind w:firstLine="480"/>
              <w:jc w:val="both"/>
            </w:pPr>
            <w:r>
              <w:rPr>
                <w:rFonts w:ascii="仿宋_GB2312" w:hAnsi="仿宋_GB2312" w:cs="仿宋_GB2312" w:eastAsia="仿宋_GB2312"/>
                <w:sz w:val="24"/>
              </w:rPr>
              <w:t>(4)供应商具备组织配送、调运、包装、二次搬运的能力，配送 的产品若出现任何问题，在规定的时间内重新配送。</w:t>
            </w:r>
          </w:p>
          <w:p>
            <w:pPr>
              <w:pStyle w:val="null3"/>
              <w:ind w:firstLine="480"/>
              <w:jc w:val="both"/>
            </w:pPr>
            <w:r>
              <w:rPr>
                <w:rFonts w:ascii="仿宋_GB2312" w:hAnsi="仿宋_GB2312" w:cs="仿宋_GB2312" w:eastAsia="仿宋_GB2312"/>
                <w:sz w:val="24"/>
              </w:rPr>
              <w:t>(5)供应商必须按所填订单配送，按规定时间送达。确保配送的 食品优质、安全、可靠，确保运输安全，无条件更换运输过程中受到 污染或变质的食品所需费用由供应商承担。</w:t>
            </w:r>
          </w:p>
          <w:p>
            <w:pPr>
              <w:pStyle w:val="null3"/>
              <w:ind w:firstLine="480"/>
              <w:jc w:val="both"/>
            </w:pPr>
            <w:r>
              <w:rPr>
                <w:rFonts w:ascii="仿宋_GB2312" w:hAnsi="仿宋_GB2312" w:cs="仿宋_GB2312" w:eastAsia="仿宋_GB2312"/>
                <w:sz w:val="24"/>
              </w:rPr>
              <w:t>(6)供应商在配送过程中要做好保鲜、保质措施，同时不得喷酒 有毒有害物质进行保鲜或保质。否则一经查实，供应商将被取消供应 资格，同时承担相应的责任。</w:t>
            </w:r>
          </w:p>
          <w:p>
            <w:pPr>
              <w:pStyle w:val="null3"/>
              <w:ind w:firstLine="480"/>
              <w:jc w:val="both"/>
            </w:pPr>
            <w:r>
              <w:rPr>
                <w:rFonts w:ascii="仿宋_GB2312" w:hAnsi="仿宋_GB2312" w:cs="仿宋_GB2312" w:eastAsia="仿宋_GB2312"/>
                <w:sz w:val="24"/>
              </w:rPr>
              <w:t>(7)建立出入库台账。供应商对所供产品的食品安全负责。将定 期或不定期地对产品供应配送工作进行督查。对供应商提供不合格产 品或不按要求配送，造成责任事故的将追究其法律责任。</w:t>
            </w:r>
          </w:p>
          <w:p>
            <w:pPr>
              <w:pStyle w:val="null3"/>
              <w:ind w:firstLine="480"/>
              <w:jc w:val="both"/>
            </w:pPr>
            <w:r>
              <w:rPr>
                <w:rFonts w:ascii="仿宋_GB2312" w:hAnsi="仿宋_GB2312" w:cs="仿宋_GB2312" w:eastAsia="仿宋_GB2312"/>
                <w:sz w:val="24"/>
              </w:rPr>
              <w:t>(8)供应商在项目完成期间，严格明确安全责任，服从的日常管 理和检查，有健全的安全管理制度，保证工作人员安全。如因供应商 原因导致发生任何安全事故或造成人员伤亡的，由供应商完全负责。</w:t>
            </w:r>
          </w:p>
          <w:p>
            <w:pPr>
              <w:pStyle w:val="null3"/>
              <w:ind w:firstLine="480"/>
              <w:jc w:val="both"/>
            </w:pPr>
            <w:r>
              <w:rPr>
                <w:rFonts w:ascii="仿宋_GB2312" w:hAnsi="仿宋_GB2312" w:cs="仿宋_GB2312" w:eastAsia="仿宋_GB2312"/>
                <w:sz w:val="24"/>
              </w:rPr>
              <w:t>(9)所提供的产品运输应由供应商负责，必须采用符合卫生标准  的外包装和运载工具，并且要保持清洁和定期消毒。运输车厢的内仓  应使用抗腐蚀、防潮、易清洁消毒的材料。车厢内无不良气味、异味。</w:t>
            </w:r>
          </w:p>
          <w:p>
            <w:pPr>
              <w:pStyle w:val="null3"/>
              <w:ind w:firstLine="482"/>
              <w:jc w:val="both"/>
            </w:pPr>
            <w:r>
              <w:rPr>
                <w:rFonts w:ascii="仿宋_GB2312" w:hAnsi="仿宋_GB2312" w:cs="仿宋_GB2312" w:eastAsia="仿宋_GB2312"/>
                <w:sz w:val="24"/>
                <w:b/>
              </w:rPr>
              <w:t>4.食品安全管理要求</w:t>
            </w:r>
          </w:p>
          <w:p>
            <w:pPr>
              <w:pStyle w:val="null3"/>
              <w:ind w:firstLine="480"/>
              <w:jc w:val="both"/>
            </w:pPr>
            <w:r>
              <w:rPr>
                <w:rFonts w:ascii="仿宋_GB2312" w:hAnsi="仿宋_GB2312" w:cs="仿宋_GB2312" w:eastAsia="仿宋_GB2312"/>
                <w:sz w:val="24"/>
              </w:rPr>
              <w:t>(1)结合自身情况制定健全的食品安全管理制度，应包括索证索 票制度、卫生管理制度、进货检查验收制度、储存制度、出库制度、 不合格产品处理制度、培训制度、人员健康监测制度。有食品安全管 理组织机构，配有专兼职食品安全管理人员。</w:t>
            </w:r>
          </w:p>
          <w:p>
            <w:pPr>
              <w:pStyle w:val="null3"/>
              <w:ind w:firstLine="480"/>
              <w:jc w:val="both"/>
            </w:pPr>
            <w:r>
              <w:rPr>
                <w:rFonts w:ascii="仿宋_GB2312" w:hAnsi="仿宋_GB2312" w:cs="仿宋_GB2312" w:eastAsia="仿宋_GB2312"/>
                <w:sz w:val="24"/>
              </w:rPr>
              <w:t>(2)所提供的产品必须符合《中华人民共和国食品安全法》和《中 华人民共和国产品质量法》等相关法律法规规定的质量标准，未具体  约定的应当符合国家食品安全要求的质量标准；没有国家标准的按照 本省地方标准执行；无国家质量标准或本省地方标准的，按照通常标 准或者符合合同目的的特定标准履行。不得提供腐败变质、油脂酸败、 霉变、生虫、污秽不洁、混有异物或者其他感官性状异常、含有毒有  害物质或者被有毒有害物质污染，可能对人体健康有害的物品。</w:t>
            </w:r>
          </w:p>
          <w:p>
            <w:pPr>
              <w:pStyle w:val="null3"/>
              <w:ind w:firstLine="482"/>
              <w:jc w:val="both"/>
            </w:pPr>
            <w:r>
              <w:rPr>
                <w:rFonts w:ascii="仿宋_GB2312" w:hAnsi="仿宋_GB2312" w:cs="仿宋_GB2312" w:eastAsia="仿宋_GB2312"/>
                <w:sz w:val="24"/>
                <w:b/>
              </w:rPr>
              <w:t>5.产品采购溯源要求</w:t>
            </w:r>
          </w:p>
          <w:p>
            <w:pPr>
              <w:pStyle w:val="null3"/>
              <w:ind w:firstLine="480"/>
              <w:jc w:val="both"/>
            </w:pPr>
            <w:r>
              <w:rPr>
                <w:rFonts w:ascii="仿宋_GB2312" w:hAnsi="仿宋_GB2312" w:cs="仿宋_GB2312" w:eastAsia="仿宋_GB2312"/>
                <w:sz w:val="24"/>
              </w:rPr>
              <w:t>(1)需记录产品名称、规格、数量、生产日期/批号、保质期、 产品的产地、采购日期、运输方式、运输过程中的温度等关键条件(针 对冷链产品)、入库验收记录等。</w:t>
            </w:r>
          </w:p>
          <w:p>
            <w:pPr>
              <w:pStyle w:val="null3"/>
              <w:ind w:firstLine="480"/>
              <w:jc w:val="both"/>
            </w:pPr>
            <w:r>
              <w:rPr>
                <w:rFonts w:ascii="仿宋_GB2312" w:hAnsi="仿宋_GB2312" w:cs="仿宋_GB2312" w:eastAsia="仿宋_GB2312"/>
                <w:sz w:val="24"/>
              </w:rPr>
              <w:t>(2)建立产品采购信息档案，确保产品从生产、加工、运输到销 售的全流程信息可追溯。</w:t>
            </w:r>
          </w:p>
          <w:p>
            <w:pPr>
              <w:pStyle w:val="null3"/>
              <w:ind w:firstLine="480"/>
              <w:jc w:val="both"/>
            </w:pPr>
            <w:r>
              <w:rPr>
                <w:rFonts w:ascii="仿宋_GB2312" w:hAnsi="仿宋_GB2312" w:cs="仿宋_GB2312" w:eastAsia="仿宋_GB2312"/>
                <w:sz w:val="24"/>
              </w:rPr>
              <w:t>(3)相关信息应准确、完整，并便于查询，消费者和监管部门可 通过扫码等方式获取溯源数据。</w:t>
            </w:r>
          </w:p>
          <w:p>
            <w:pPr>
              <w:pStyle w:val="null3"/>
              <w:ind w:firstLine="480"/>
              <w:jc w:val="both"/>
            </w:pPr>
            <w:r>
              <w:rPr>
                <w:rFonts w:ascii="仿宋_GB2312" w:hAnsi="仿宋_GB2312" w:cs="仿宋_GB2312" w:eastAsia="仿宋_GB2312"/>
                <w:sz w:val="24"/>
              </w:rPr>
              <w:t>(4)供应商对溯源信息的真实性和完整性负责，若产品出现任何 问题，由供应商承担全部责任。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渭南市临渭区环境卫生管理中心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供应量，据实结算,最终结算金额不超过总预算。供应商核对好货物数量金额后，及时向采购人提供税务部门出具的正式发票。采购人按相关财务制度进行对账，审核无误后，支付合同价款。据实结算=中标单价*最终提供产品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(一)验收流程 1.做好卸货前的检查。双方验收人员卸货前应对场地和验收设备做好准备，并对产品的外观质量进行初步了解。产品运输必须采用符合卫生标准的外包装和运输工具，保持清洁和定期消毒，车厢内无不良气味、异味。产品应清洁，无损伤、腐烂现象，外包装完整，无寄生虫或已受虫害现象。 2.采取现场验收的方式，双方验收人员应认真检查产品的质量，按索票--验证--计数--入库的程序完成验收，供应商可提供原件的留原件，原件只有一份而无法提供给的查验原件后，索取复印件留存。3.每次每种产品全部进行验收检查，对于产品验收的全部信息数据，验收人员应和供应商送货人员一起确认，并保留双方签字单据。 4.检查发现产品安全质量问题的处理: (1)对危及人身安全的产品质量问题采取零容忍措施，一经发现，当日所送同批次产品全部退货。 (2)若检查未发现问题，而在加工食用前发现部分产品质量问题，应立即通知供应商，将问题产品退货处理。 (二)退(补)货流程 对不符合质量要求的产品由验收人员提出清退，如双方对质量或重量有争议的可送具有检验资质的部门检测，同时留样备检，对数量不足或部分退货的，责成供应商以不影响产品供应为前提尽快补送。在退货过程中，对有碍公共卫生安全的产品，应按国家有关规定处理或进行协议销毁，不退货给供应商。 (三)验收记录 对每次验收的产品均记录名称、数量、验收情况等事项，并由双方验收人员签名确认。 (四)验收条款 1.供应商所提供的产品必须符合国家行业生产及经营标准，货真价实，均能提供相应批次的合格检验证明。 2.供应商所提供的物产品必须各项技术指标完全符合国家强制性标准，符合国家有关质量检测、环保标准及产品出厂标准。 3.供应商必须负责中标产品的运输、质量检测等工作，所产生的费用由供应商负责。 4.供应商配送产品必须按时按量按质送到指定地点，并当面核实数量，验收完毕后，双方必须在收货清单(格式自定，但必须包括产品单价、数量、重量、合价等内容)上签名确认，产品收货清单作为支付货款的依据之一。</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1.所有产品质量必须符合国家有关规范和相关政策。 2.质保期出现的质量问题由中标人负责解决并承担所有费用，如因供应商提供的货物，因质量等问题而使使用人员发生食物中毒事件的，供应商将承担相应的法律责任。</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若未能在交货期内完成合同规定的义务，由此对采购人造成的延误和一切损失，由中标人承担和赔偿。 2.未按合同要求提供产品质量不能满足技术要求，采购人有权终止合同，并对供方违约行为进行追究，同时按《中华人民共和国政府采购法》的有关规定进行处罚。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一、特殊情况处理 1、单一产品采购项目中，提供相同品牌的产品的不同投标人参加同一合同项下投标的，按以下方法处理： 使用综合评分法的采购项目，提供相同品牌产品且通过资格审查、符合性审查的不同供应商参加同一合同项下投标的，按一家投标人计算，评审后得分最高的同品牌供应商获得中标人推荐资格；评审得分相同的，由采购人及评标委员会按照投标报价最低的方式确定一个投标人获得中标人推荐资格，其他同品牌投标人不作为中标候选人。 2、非单一产品采购项目中，提供相同品牌的核心产品的不同投标人参加同一合同项下投标的，按以下方法处理： 使用综合评分法的采购项目，提供相同品牌核心产品且通过资格审查、符合性审查的不同投标人参加同一合同项下投标的，按一家投标人计算，评审后得分最高的同品牌投标人获得中标人推荐资格；评审得分相同的，由采购人及评标委员会按照投标报价最低的方式确定一个投标人获得中标人推荐资格，其他同品牌投标人不作为中标候选人。 二、中标供应商在中标结果公告发布后3个工作日内提供叁套纸质投标文件（经编标工具生成的文件直接打印并加盖公章），递交的纸质版文件内容确保与线上电子文件保持一致，不允许修改和补充。 三、根据《关于印发中小企业划型标准规定的通知》（工信部联企业〔2011〕300号），中小企业划型标准规定：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投标人应具有独立承担民事责任能力的企业法人、事业法人、其他组织或者自然人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法定代表人参与投标时需提供法定代表人身份证明书（附法定代表人身份证复印件）；被授权人参与投标时需提供法定代表人授权委托书及法定代表人身份证明书（附法定代表人及被授权人身份证复印件）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并提供《食品经营许可证》或《仅销售预包装食品经营者备案表》；投标人为代理商的，须提供有效期内的《食品经营许可证》或《仅销售预包装食品经营者备案表》，并提供生产厂家的《食品生产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产品分项报价表.docx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应满足招标文件中要求的供货期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产品技术参数表 投标人认为提供的其他资料.docx 产品分项报价表.docx 投标函 残疾人福利性单位声明函 标的清单 投标人资格证明文件.docx 投标文件封面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产品的技术指标、参数、性能等情况符合招标文件要求，提供不同种类产品的货源渠道，来源清晰，安全，提供相关证明材料，满足招标文件要求得10分，负偏离将进行扣分，每负偏离1项扣0.5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（一）评审内容：①产品种类采购方案；②产品配送计划方案；③按时供货的方案；④产品运输安全管理方案。 （二）评审标准：每一条评审内容无缺陷得2分，满分8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（一）评审内容：①不同种类的产品安全管理措施；②原材料采购来源稳定保障措施；③食品安全管理制度；④保证食品安全卫生无公害的保障措施。 （二）评审标准：每一条评审内容无缺陷得3分，满分12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（一）评审内容：①产品安全采购的质量保证措施；②产品选定的质量保障；③食品安全追溯体系制度；④产品符合国家相关质量检测保障措施。 （二）评审标准：每一条评审内容无缺陷得3分，满分12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组织保障</w:t>
            </w:r>
          </w:p>
        </w:tc>
        <w:tc>
          <w:tcPr>
            <w:tcW w:type="dxa" w:w="2492"/>
          </w:tcPr>
          <w:p>
            <w:pPr>
              <w:pStyle w:val="null3"/>
            </w:pPr>
            <w:r>
              <w:rPr>
                <w:rFonts w:ascii="仿宋_GB2312" w:hAnsi="仿宋_GB2312" w:cs="仿宋_GB2312" w:eastAsia="仿宋_GB2312"/>
              </w:rPr>
              <w:t>（一）评审内容：①符合安全运输标准的专用车辆及相关配送设备配备；②符合产品仓储环境的保障措施；③食品安全事故应急预案；④发生影响正常配送的突发情况处理。 的应急预案 （二）评审标准：每一条评审内容无缺陷得2分，满分8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（一）评审内容：①售后服务机构情况及内容；②售后服务人员安排；③售后服务响应时间与处理时间。 （二）评审标准：每一条评审内容无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拟投入的人员安排合理，岗位职责明确，每配备一个人员得0.5分，本项最高得3分。 注：提供人员的相关证明材料，否则不得分。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投标人具有近三年（2023年1月至今）的类似业绩（合同扫描件并加盖投标人公章，以合同签订时间为准）每个计1分，最多得3分；未提供不得分。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满足招标文件要求且投标总报价最低的投标总报价为评标基准价，其价格分为满分。其他投标人的价格分统一按照下列公式计算： 投标报价得分=(评标基准价／投标总报价)×35%×100。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参加政府采购活动且符合《政府采购促进中小企业发展管理办法》（财库〔2020〕46号）中小企业条件的企业，应当提供本办法规定的《中小企业声明函》，否则不享受相关政策。若货物由小型或微型企业制造，并符合政策要求的小型或微型企业制造商，报价给予10%的扣除，用扣除后的价格参加评审。 2.根据财政部 司法部《关于政府采购支持监狱企业发展有关问题的通知》（财库〔2014〕68号），符合条件的监狱企业应当提供相关单位出具的属于监狱企业的证明文件，在政府采购活动中，监狱企业视同小型、微型企业，享受价格给予10%的扣除，用扣除后的价格参与评审。 3.根据《关于促进残疾人就业政府采购政策的通知》（财库〔2017〕141号），符合条件的残疾人福利性单位应当提供本通知规定的《残疾人福利性单位声明函》，残疾人福利性单位视同小型、微型企业，享受价格给予10%的扣除，用扣除后的价格参与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详见附件：投标人认为提供的其他资料.docx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