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91430">
      <w:pPr>
        <w:spacing w:line="360" w:lineRule="auto"/>
        <w:jc w:val="center"/>
        <w:rPr>
          <w:rFonts w:hint="eastAsia" w:ascii="宋体" w:hAnsi="宋体" w:eastAsia="宋体" w:cs="宋体"/>
          <w:spacing w:val="12"/>
          <w:sz w:val="24"/>
        </w:rPr>
      </w:pPr>
      <w:r>
        <w:rPr>
          <w:rFonts w:hint="eastAsia" w:ascii="宋体" w:hAnsi="宋体" w:eastAsia="宋体" w:cs="宋体"/>
          <w:spacing w:val="12"/>
          <w:sz w:val="24"/>
        </w:rPr>
        <w:t>注：</w:t>
      </w:r>
      <w:r>
        <w:rPr>
          <w:rFonts w:hint="eastAsia" w:ascii="宋体" w:hAnsi="宋体" w:eastAsia="宋体" w:cs="宋体"/>
          <w:spacing w:val="12"/>
          <w:sz w:val="22"/>
          <w:szCs w:val="22"/>
        </w:rPr>
        <w:t>本合同仅为合同的参考文本，合同签订双方可根据项目的具体要求进行修订。</w:t>
      </w:r>
    </w:p>
    <w:p w14:paraId="4F208EE7">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06595D58">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center"/>
        <w:rPr>
          <w:rFonts w:hint="eastAsia" w:ascii="黑体" w:hAnsi="黑体" w:eastAsia="黑体" w:cs="黑体"/>
          <w:b/>
          <w:bCs/>
          <w:kern w:val="2"/>
          <w:sz w:val="48"/>
          <w:szCs w:val="48"/>
          <w:lang w:val="en-US" w:eastAsia="zh-CN" w:bidi="ar-SA"/>
        </w:rPr>
      </w:pPr>
    </w:p>
    <w:p w14:paraId="3CE17E62">
      <w:pPr>
        <w:pStyle w:val="4"/>
        <w:spacing w:line="360" w:lineRule="auto"/>
        <w:ind w:left="0" w:leftChars="0" w:firstLine="0" w:firstLineChars="0"/>
        <w:jc w:val="center"/>
        <w:rPr>
          <w:rFonts w:hint="eastAsia" w:ascii="黑体" w:hAnsi="黑体" w:eastAsia="黑体" w:cs="黑体"/>
          <w:b/>
          <w:bCs/>
          <w:kern w:val="2"/>
          <w:sz w:val="48"/>
          <w:szCs w:val="48"/>
          <w:lang w:val="en-US" w:eastAsia="zh-CN" w:bidi="ar-SA"/>
        </w:rPr>
      </w:pPr>
    </w:p>
    <w:p w14:paraId="018C0BB3">
      <w:pPr>
        <w:jc w:val="center"/>
        <w:rPr>
          <w:rFonts w:hint="eastAsia" w:ascii="宋体" w:hAnsi="宋体" w:eastAsia="宋体" w:cs="宋体"/>
          <w:b/>
          <w:bCs/>
          <w:sz w:val="52"/>
          <w:szCs w:val="52"/>
        </w:rPr>
      </w:pPr>
      <w:r>
        <w:rPr>
          <w:rFonts w:hint="eastAsia" w:ascii="宋体" w:hAnsi="宋体" w:eastAsia="宋体" w:cs="宋体"/>
          <w:b/>
          <w:bCs/>
          <w:sz w:val="52"/>
          <w:szCs w:val="52"/>
        </w:rPr>
        <w:t>2026年春节环卫工人慰问品采购项目</w:t>
      </w:r>
    </w:p>
    <w:p w14:paraId="39C57316">
      <w:pPr>
        <w:spacing w:line="360" w:lineRule="auto"/>
        <w:jc w:val="center"/>
        <w:rPr>
          <w:rFonts w:hint="eastAsia" w:ascii="宋体" w:hAnsi="宋体"/>
          <w:b/>
          <w:bCs/>
          <w:color w:val="000000"/>
          <w:spacing w:val="12"/>
          <w:sz w:val="60"/>
          <w:szCs w:val="60"/>
        </w:rPr>
      </w:pPr>
    </w:p>
    <w:p w14:paraId="1DE4CD5E">
      <w:pPr>
        <w:spacing w:line="360" w:lineRule="auto"/>
        <w:jc w:val="center"/>
        <w:rPr>
          <w:rFonts w:hint="eastAsia" w:ascii="宋体" w:hAnsi="宋体"/>
          <w:b/>
          <w:bCs/>
          <w:color w:val="000000"/>
          <w:spacing w:val="12"/>
          <w:sz w:val="60"/>
          <w:szCs w:val="60"/>
        </w:rPr>
      </w:pPr>
    </w:p>
    <w:p w14:paraId="40B6A9C5">
      <w:pPr>
        <w:spacing w:line="360" w:lineRule="auto"/>
        <w:jc w:val="center"/>
        <w:rPr>
          <w:rFonts w:hint="eastAsia" w:ascii="宋体" w:hAnsi="宋体"/>
          <w:b/>
          <w:bCs/>
          <w:color w:val="000000"/>
          <w:spacing w:val="12"/>
          <w:sz w:val="60"/>
          <w:szCs w:val="60"/>
        </w:rPr>
      </w:pPr>
      <w:r>
        <w:rPr>
          <w:rFonts w:hint="eastAsia" w:ascii="宋体" w:hAnsi="宋体"/>
          <w:b/>
          <w:bCs/>
          <w:color w:val="000000"/>
          <w:spacing w:val="12"/>
          <w:sz w:val="60"/>
          <w:szCs w:val="60"/>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37E4AC4E">
      <w:pPr>
        <w:pStyle w:val="5"/>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：渭南市临渭区环境卫生管理中心</w:t>
      </w:r>
    </w:p>
    <w:p w14:paraId="4657DE0F">
      <w:pPr>
        <w:keepNext w:val="0"/>
        <w:keepLines w:val="0"/>
        <w:pageBreakBefore w:val="0"/>
        <w:widowControl w:val="0"/>
        <w:kinsoku/>
        <w:wordWrap/>
        <w:overflowPunct/>
        <w:topLinePunct w:val="0"/>
        <w:autoSpaceDE/>
        <w:autoSpaceDN/>
        <w:bidi w:val="0"/>
        <w:adjustRightInd/>
        <w:snapToGrid/>
        <w:spacing w:line="720" w:lineRule="auto"/>
        <w:ind w:firstLine="1381" w:firstLineChars="4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采购人：渭南市临渭区环境卫生管理中心</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b/>
          <w:bCs/>
          <w:color w:val="auto"/>
          <w:sz w:val="24"/>
          <w:highlight w:val="none"/>
          <w:u w:val="single"/>
        </w:rPr>
        <w:t>2026年春节环卫工人慰问品采购项目</w:t>
      </w:r>
      <w:r>
        <w:rPr>
          <w:rFonts w:hint="eastAsia" w:ascii="宋体" w:hAnsi="宋体"/>
          <w:b w:val="0"/>
          <w:bCs w:val="0"/>
          <w:color w:val="auto"/>
          <w:sz w:val="24"/>
          <w:highlight w:val="none"/>
        </w:rPr>
        <w:t>的</w:t>
      </w:r>
      <w:r>
        <w:rPr>
          <w:rFonts w:hint="eastAsia" w:ascii="宋体" w:hAnsi="宋体"/>
          <w:color w:val="auto"/>
          <w:sz w:val="24"/>
          <w:highlight w:val="none"/>
        </w:rPr>
        <w:t>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w:t>
      </w:r>
      <w:r>
        <w:rPr>
          <w:rFonts w:hint="eastAsia" w:ascii="宋体" w:hAnsi="宋体"/>
          <w:color w:val="auto"/>
          <w:sz w:val="24"/>
          <w:highlight w:val="none"/>
        </w:rPr>
        <w:t>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w:t>
      </w:r>
      <w:r>
        <w:rPr>
          <w:rFonts w:hint="eastAsia" w:ascii="宋体" w:hAnsi="宋体"/>
          <w:color w:val="auto"/>
          <w:sz w:val="24"/>
          <w:highlight w:val="none"/>
        </w:rPr>
        <w:t>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lang w:val="en-US" w:eastAsia="zh-CN"/>
        </w:rPr>
        <w:t>.</w:t>
      </w:r>
      <w:r>
        <w:rPr>
          <w:rFonts w:hint="eastAsia" w:ascii="宋体" w:hAnsi="宋体"/>
          <w:color w:val="auto"/>
          <w:sz w:val="24"/>
          <w:highlight w:val="none"/>
        </w:rPr>
        <w:t>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w:t>
      </w:r>
      <w:r>
        <w:rPr>
          <w:rFonts w:hint="eastAsia" w:ascii="宋体" w:hAnsi="宋体"/>
          <w:color w:val="auto"/>
          <w:sz w:val="24"/>
          <w:highlight w:val="none"/>
        </w:rPr>
        <w:t>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完成</w:t>
      </w:r>
      <w:r>
        <w:rPr>
          <w:rFonts w:hint="eastAsia" w:ascii="宋体" w:hAnsi="宋体" w:cs="宋体"/>
          <w:color w:val="auto"/>
          <w:kern w:val="0"/>
          <w:sz w:val="24"/>
          <w:highlight w:val="none"/>
          <w:lang w:val="en-US" w:eastAsia="zh-CN"/>
        </w:rPr>
        <w:t>合同</w:t>
      </w:r>
      <w:r>
        <w:rPr>
          <w:rFonts w:hint="eastAsia" w:ascii="宋体" w:hAnsi="宋体" w:cs="宋体"/>
          <w:color w:val="auto"/>
          <w:kern w:val="0"/>
          <w:sz w:val="24"/>
          <w:highlight w:val="none"/>
        </w:rPr>
        <w:t>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w:t>
      </w:r>
      <w:r>
        <w:rPr>
          <w:rFonts w:hint="eastAsia" w:ascii="宋体" w:hAnsi="宋体" w:cs="宋体"/>
          <w:color w:val="auto"/>
          <w:kern w:val="0"/>
          <w:sz w:val="24"/>
          <w:highlight w:val="none"/>
          <w:lang w:val="en-US" w:eastAsia="zh-CN"/>
        </w:rPr>
        <w:t>标</w:t>
      </w:r>
      <w:r>
        <w:rPr>
          <w:rFonts w:hint="eastAsia" w:ascii="宋体" w:hAnsi="宋体" w:eastAsia="宋体" w:cs="宋体"/>
          <w:color w:val="auto"/>
          <w:kern w:val="0"/>
          <w:sz w:val="24"/>
          <w:highlight w:val="none"/>
          <w:lang w:val="en-US" w:eastAsia="zh-CN"/>
        </w:rPr>
        <w:t>价</w:t>
      </w:r>
      <w:r>
        <w:rPr>
          <w:rFonts w:hint="eastAsia" w:ascii="宋体" w:hAnsi="宋体" w:cs="宋体"/>
          <w:color w:val="auto"/>
          <w:kern w:val="0"/>
          <w:sz w:val="24"/>
          <w:highlight w:val="none"/>
          <w:lang w:val="en-US" w:eastAsia="zh-CN"/>
        </w:rPr>
        <w:t>:单价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val="en-US" w:eastAsia="zh-CN"/>
        </w:rPr>
        <w:t>单价</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none"/>
        </w:rPr>
        <w:t xml:space="preserve"> </w:t>
      </w:r>
      <w:r>
        <w:rPr>
          <w:rFonts w:hint="eastAsia" w:ascii="宋体" w:hAnsi="宋体" w:cs="宋体"/>
          <w:color w:val="auto"/>
          <w:kern w:val="0"/>
          <w:sz w:val="24"/>
          <w:highlight w:val="none"/>
          <w:u w:val="none"/>
          <w:lang w:eastAsia="zh-CN"/>
        </w:rPr>
        <w:t>；</w:t>
      </w:r>
      <w:r>
        <w:rPr>
          <w:rFonts w:hint="eastAsia" w:ascii="宋体" w:hAnsi="宋体" w:cs="宋体"/>
          <w:color w:val="auto"/>
          <w:kern w:val="0"/>
          <w:sz w:val="24"/>
          <w:highlight w:val="none"/>
          <w:u w:val="none"/>
          <w:lang w:val="en-US" w:eastAsia="zh-CN"/>
        </w:rPr>
        <w:t>总价：</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 xml:space="preserve"> ；</w:t>
      </w:r>
      <w:r>
        <w:rPr>
          <w:rFonts w:hint="eastAsia" w:ascii="宋体" w:hAnsi="宋体" w:cs="宋体"/>
          <w:color w:val="auto"/>
          <w:kern w:val="0"/>
          <w:sz w:val="24"/>
          <w:highlight w:val="none"/>
          <w:u w:val="none"/>
          <w:lang w:val="en-US" w:eastAsia="zh-CN"/>
        </w:rPr>
        <w:t xml:space="preserve"> </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3"/>
        <w:tblW w:w="4996" w:type="pct"/>
        <w:tblInd w:w="0" w:type="dxa"/>
        <w:tblLayout w:type="fixed"/>
        <w:tblCellMar>
          <w:top w:w="0" w:type="dxa"/>
          <w:left w:w="108" w:type="dxa"/>
          <w:bottom w:w="0" w:type="dxa"/>
          <w:right w:w="108" w:type="dxa"/>
        </w:tblCellMar>
      </w:tblPr>
      <w:tblGrid>
        <w:gridCol w:w="851"/>
        <w:gridCol w:w="3787"/>
        <w:gridCol w:w="1662"/>
        <w:gridCol w:w="1499"/>
        <w:gridCol w:w="1482"/>
      </w:tblGrid>
      <w:tr w14:paraId="7A6A2D98">
        <w:tblPrEx>
          <w:tblCellMar>
            <w:top w:w="0" w:type="dxa"/>
            <w:left w:w="108" w:type="dxa"/>
            <w:bottom w:w="0" w:type="dxa"/>
            <w:right w:w="108" w:type="dxa"/>
          </w:tblCellMar>
        </w:tblPrEx>
        <w:trPr>
          <w:trHeight w:val="613"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24917B0F">
            <w:pPr>
              <w:widowControl/>
              <w:jc w:val="center"/>
              <w:textAlignment w:val="center"/>
              <w:rPr>
                <w:rFonts w:hint="eastAsia" w:ascii="宋体" w:hAnsi="宋体" w:eastAsia="宋体" w:cs="宋体"/>
                <w:sz w:val="24"/>
                <w:szCs w:val="24"/>
                <w:highlight w:val="none"/>
                <w:lang w:eastAsia="zh-CN"/>
              </w:rPr>
            </w:pPr>
            <w:r>
              <w:rPr>
                <w:rFonts w:hint="eastAsia" w:ascii="宋体" w:hAnsi="宋体" w:eastAsia="宋体" w:cs="宋体"/>
                <w:b/>
                <w:bCs/>
                <w:kern w:val="0"/>
                <w:sz w:val="24"/>
                <w:szCs w:val="24"/>
                <w:highlight w:val="none"/>
                <w:lang w:val="en-US" w:eastAsia="zh-CN" w:bidi="ar"/>
              </w:rPr>
              <w:t>序号</w:t>
            </w:r>
          </w:p>
        </w:tc>
        <w:tc>
          <w:tcPr>
            <w:tcW w:w="2040" w:type="pct"/>
            <w:tcBorders>
              <w:top w:val="single" w:color="000000" w:sz="4" w:space="0"/>
              <w:left w:val="single" w:color="000000" w:sz="4" w:space="0"/>
              <w:bottom w:val="single" w:color="000000" w:sz="4" w:space="0"/>
              <w:right w:val="single" w:color="000000" w:sz="4" w:space="0"/>
            </w:tcBorders>
            <w:noWrap/>
            <w:vAlign w:val="center"/>
          </w:tcPr>
          <w:p w14:paraId="78D5A313">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r>
              <w:rPr>
                <w:rFonts w:hint="eastAsia" w:ascii="宋体" w:hAnsi="宋体" w:eastAsia="宋体" w:cs="宋体"/>
                <w:b/>
                <w:bCs/>
                <w:kern w:val="0"/>
                <w:sz w:val="24"/>
                <w:szCs w:val="24"/>
                <w:highlight w:val="none"/>
                <w:lang w:bidi="ar"/>
              </w:rPr>
              <w:t>名称</w:t>
            </w:r>
          </w:p>
        </w:tc>
        <w:tc>
          <w:tcPr>
            <w:tcW w:w="895" w:type="pct"/>
            <w:tcBorders>
              <w:top w:val="single" w:color="000000" w:sz="4" w:space="0"/>
              <w:left w:val="single" w:color="000000" w:sz="4" w:space="0"/>
              <w:bottom w:val="single" w:color="000000" w:sz="4" w:space="0"/>
              <w:right w:val="single" w:color="000000" w:sz="4" w:space="0"/>
            </w:tcBorders>
            <w:noWrap/>
            <w:vAlign w:val="center"/>
          </w:tcPr>
          <w:p w14:paraId="4520B72A">
            <w:pPr>
              <w:widowControl/>
              <w:jc w:val="center"/>
              <w:textAlignment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规格</w:t>
            </w:r>
          </w:p>
        </w:tc>
        <w:tc>
          <w:tcPr>
            <w:tcW w:w="807" w:type="pct"/>
            <w:tcBorders>
              <w:top w:val="single" w:color="000000" w:sz="4" w:space="0"/>
              <w:left w:val="single" w:color="000000" w:sz="4" w:space="0"/>
              <w:bottom w:val="single" w:color="000000" w:sz="4" w:space="0"/>
              <w:right w:val="single" w:color="000000" w:sz="4" w:space="0"/>
            </w:tcBorders>
            <w:noWrap/>
            <w:vAlign w:val="center"/>
          </w:tcPr>
          <w:p w14:paraId="58AB8661">
            <w:pPr>
              <w:widowControl/>
              <w:jc w:val="center"/>
              <w:textAlignment w:val="center"/>
              <w:rPr>
                <w:rFonts w:hint="eastAsia" w:ascii="宋体" w:hAnsi="宋体" w:eastAsia="宋体" w:cs="宋体"/>
                <w:b/>
                <w:bCs/>
                <w:sz w:val="24"/>
                <w:szCs w:val="24"/>
                <w:highlight w:val="none"/>
                <w:lang w:val="en-US" w:eastAsia="zh-CN"/>
              </w:rPr>
            </w:pPr>
            <w:r>
              <w:rPr>
                <w:rFonts w:hint="eastAsia" w:ascii="宋体" w:hAnsi="宋体" w:eastAsia="宋体" w:cs="宋体"/>
                <w:b/>
                <w:bCs/>
                <w:kern w:val="0"/>
                <w:sz w:val="24"/>
                <w:szCs w:val="24"/>
                <w:highlight w:val="none"/>
                <w:lang w:val="en-US" w:eastAsia="zh-CN" w:bidi="ar"/>
              </w:rPr>
              <w:t>暂定</w:t>
            </w:r>
            <w:r>
              <w:rPr>
                <w:rFonts w:hint="eastAsia" w:ascii="宋体" w:hAnsi="宋体" w:eastAsia="宋体" w:cs="宋体"/>
                <w:b/>
                <w:bCs/>
                <w:kern w:val="0"/>
                <w:sz w:val="24"/>
                <w:szCs w:val="24"/>
                <w:highlight w:val="none"/>
                <w:lang w:bidi="ar"/>
              </w:rPr>
              <w:t>数量</w:t>
            </w:r>
          </w:p>
        </w:tc>
        <w:tc>
          <w:tcPr>
            <w:tcW w:w="798" w:type="pct"/>
            <w:tcBorders>
              <w:top w:val="single" w:color="000000" w:sz="4" w:space="0"/>
              <w:left w:val="single" w:color="000000" w:sz="4" w:space="0"/>
              <w:bottom w:val="single" w:color="000000" w:sz="4" w:space="0"/>
              <w:right w:val="single" w:color="000000" w:sz="4" w:space="0"/>
            </w:tcBorders>
            <w:noWrap/>
            <w:vAlign w:val="center"/>
          </w:tcPr>
          <w:p w14:paraId="0733158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投标单价</w:t>
            </w:r>
          </w:p>
          <w:p w14:paraId="4F56CED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（元/份）</w:t>
            </w:r>
          </w:p>
        </w:tc>
      </w:tr>
      <w:tr w14:paraId="4590AE52">
        <w:tblPrEx>
          <w:tblCellMar>
            <w:top w:w="0" w:type="dxa"/>
            <w:left w:w="108" w:type="dxa"/>
            <w:bottom w:w="0" w:type="dxa"/>
            <w:right w:w="108" w:type="dxa"/>
          </w:tblCellMar>
        </w:tblPrEx>
        <w:trPr>
          <w:trHeight w:val="681"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02EC935F">
            <w:pPr>
              <w:widowControl/>
              <w:jc w:val="center"/>
              <w:textAlignment w:val="center"/>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1</w:t>
            </w:r>
          </w:p>
        </w:tc>
        <w:tc>
          <w:tcPr>
            <w:tcW w:w="2040" w:type="pct"/>
            <w:tcBorders>
              <w:top w:val="single" w:color="000000" w:sz="4" w:space="0"/>
              <w:left w:val="single" w:color="000000" w:sz="4" w:space="0"/>
              <w:right w:val="single" w:color="000000" w:sz="4" w:space="0"/>
            </w:tcBorders>
            <w:noWrap w:val="0"/>
            <w:vAlign w:val="center"/>
          </w:tcPr>
          <w:p w14:paraId="5A013C84">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火锅底料（每份包含番茄、清油、牛油三种口味）</w:t>
            </w:r>
          </w:p>
        </w:tc>
        <w:tc>
          <w:tcPr>
            <w:tcW w:w="895" w:type="pct"/>
            <w:tcBorders>
              <w:top w:val="single" w:color="000000" w:sz="4" w:space="0"/>
              <w:left w:val="single" w:color="000000" w:sz="4" w:space="0"/>
              <w:right w:val="single" w:color="000000" w:sz="4" w:space="0"/>
            </w:tcBorders>
            <w:noWrap/>
            <w:vAlign w:val="center"/>
          </w:tcPr>
          <w:p w14:paraId="54900A47">
            <w:pPr>
              <w:widowControl/>
              <w:jc w:val="center"/>
              <w:textAlignment w:val="center"/>
              <w:rPr>
                <w:rFonts w:hint="eastAsia" w:ascii="宋体" w:hAnsi="宋体" w:eastAsia="宋体" w:cs="宋体"/>
                <w:color w:val="000000"/>
                <w:sz w:val="24"/>
                <w:szCs w:val="24"/>
                <w:highlight w:val="none"/>
                <w:lang w:val="en-US" w:eastAsia="zh-CN"/>
              </w:rPr>
            </w:pPr>
          </w:p>
        </w:tc>
        <w:tc>
          <w:tcPr>
            <w:tcW w:w="807" w:type="pct"/>
            <w:tcBorders>
              <w:top w:val="single" w:color="000000" w:sz="4" w:space="0"/>
              <w:left w:val="single" w:color="000000" w:sz="4" w:space="0"/>
              <w:right w:val="single" w:color="000000" w:sz="4" w:space="0"/>
            </w:tcBorders>
            <w:noWrap/>
            <w:vAlign w:val="center"/>
          </w:tcPr>
          <w:p w14:paraId="497A1EEE">
            <w:pPr>
              <w:widowControl/>
              <w:jc w:val="center"/>
              <w:textAlignment w:val="center"/>
              <w:rPr>
                <w:rFonts w:hint="eastAsia" w:ascii="宋体" w:hAnsi="宋体" w:eastAsia="宋体" w:cs="宋体"/>
                <w:color w:val="000000"/>
                <w:sz w:val="24"/>
                <w:szCs w:val="24"/>
                <w:highlight w:val="none"/>
                <w:lang w:val="en-US" w:eastAsia="zh-CN"/>
              </w:rPr>
            </w:pPr>
          </w:p>
        </w:tc>
        <w:tc>
          <w:tcPr>
            <w:tcW w:w="798" w:type="pct"/>
            <w:tcBorders>
              <w:top w:val="single" w:color="000000" w:sz="4" w:space="0"/>
              <w:left w:val="single" w:color="000000" w:sz="4" w:space="0"/>
              <w:right w:val="single" w:color="000000" w:sz="4" w:space="0"/>
            </w:tcBorders>
            <w:noWrap/>
            <w:vAlign w:val="center"/>
          </w:tcPr>
          <w:p w14:paraId="33558E33">
            <w:pPr>
              <w:widowControl/>
              <w:jc w:val="center"/>
              <w:textAlignment w:val="center"/>
              <w:rPr>
                <w:rFonts w:hint="eastAsia" w:ascii="宋体" w:hAnsi="宋体" w:eastAsia="宋体" w:cs="宋体"/>
                <w:color w:val="000000"/>
                <w:sz w:val="24"/>
                <w:szCs w:val="24"/>
                <w:highlight w:val="none"/>
                <w:lang w:val="en-US" w:eastAsia="zh-CN"/>
              </w:rPr>
            </w:pPr>
          </w:p>
        </w:tc>
      </w:tr>
      <w:tr w14:paraId="5C272176">
        <w:tblPrEx>
          <w:tblCellMar>
            <w:top w:w="0" w:type="dxa"/>
            <w:left w:w="108" w:type="dxa"/>
            <w:bottom w:w="0" w:type="dxa"/>
            <w:right w:w="108" w:type="dxa"/>
          </w:tblCellMar>
        </w:tblPrEx>
        <w:trPr>
          <w:trHeight w:val="548"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45B248CC">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w:t>
            </w:r>
          </w:p>
        </w:tc>
        <w:tc>
          <w:tcPr>
            <w:tcW w:w="2040" w:type="pct"/>
            <w:tcBorders>
              <w:top w:val="single" w:color="000000" w:sz="4" w:space="0"/>
              <w:left w:val="single" w:color="000000" w:sz="4" w:space="0"/>
              <w:bottom w:val="single" w:color="000000" w:sz="4" w:space="0"/>
              <w:right w:val="single" w:color="000000" w:sz="4" w:space="0"/>
            </w:tcBorders>
            <w:noWrap w:val="0"/>
            <w:vAlign w:val="center"/>
          </w:tcPr>
          <w:p w14:paraId="7F75BD1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桃酥</w:t>
            </w:r>
          </w:p>
        </w:tc>
        <w:tc>
          <w:tcPr>
            <w:tcW w:w="895" w:type="pct"/>
            <w:tcBorders>
              <w:top w:val="single" w:color="000000" w:sz="4" w:space="0"/>
              <w:left w:val="single" w:color="000000" w:sz="4" w:space="0"/>
              <w:bottom w:val="single" w:color="000000" w:sz="4" w:space="0"/>
              <w:right w:val="single" w:color="000000" w:sz="4" w:space="0"/>
            </w:tcBorders>
            <w:noWrap w:val="0"/>
            <w:vAlign w:val="center"/>
          </w:tcPr>
          <w:p w14:paraId="3E0F2E0D">
            <w:pPr>
              <w:widowControl/>
              <w:jc w:val="center"/>
              <w:textAlignment w:val="center"/>
              <w:rPr>
                <w:rFonts w:hint="eastAsia" w:ascii="宋体" w:hAnsi="宋体" w:eastAsia="宋体" w:cs="宋体"/>
                <w:color w:val="000000"/>
                <w:sz w:val="24"/>
                <w:szCs w:val="24"/>
                <w:highlight w:val="none"/>
                <w:lang w:val="en-US" w:eastAsia="zh-CN"/>
              </w:rPr>
            </w:pPr>
          </w:p>
        </w:tc>
        <w:tc>
          <w:tcPr>
            <w:tcW w:w="807" w:type="pct"/>
            <w:tcBorders>
              <w:top w:val="single" w:color="000000" w:sz="4" w:space="0"/>
              <w:left w:val="single" w:color="000000" w:sz="4" w:space="0"/>
              <w:bottom w:val="single" w:color="000000" w:sz="4" w:space="0"/>
              <w:right w:val="single" w:color="000000" w:sz="4" w:space="0"/>
            </w:tcBorders>
            <w:noWrap w:val="0"/>
            <w:vAlign w:val="center"/>
          </w:tcPr>
          <w:p w14:paraId="1E24157C">
            <w:pPr>
              <w:widowControl/>
              <w:jc w:val="center"/>
              <w:textAlignment w:val="center"/>
              <w:rPr>
                <w:rFonts w:hint="eastAsia" w:ascii="宋体" w:hAnsi="宋体" w:eastAsia="宋体" w:cs="宋体"/>
                <w:color w:val="000000"/>
                <w:sz w:val="24"/>
                <w:szCs w:val="24"/>
                <w:highlight w:val="none"/>
                <w:lang w:val="en-US" w:eastAsia="zh-CN"/>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14:paraId="5B495899">
            <w:pPr>
              <w:widowControl/>
              <w:jc w:val="center"/>
              <w:textAlignment w:val="center"/>
              <w:rPr>
                <w:rFonts w:hint="eastAsia" w:ascii="宋体" w:hAnsi="宋体" w:eastAsia="宋体" w:cs="宋体"/>
                <w:color w:val="000000"/>
                <w:sz w:val="24"/>
                <w:szCs w:val="24"/>
                <w:highlight w:val="none"/>
                <w:lang w:val="en-US" w:eastAsia="zh-CN"/>
              </w:rPr>
            </w:pPr>
          </w:p>
        </w:tc>
      </w:tr>
      <w:tr w14:paraId="2B7E38C9">
        <w:tblPrEx>
          <w:tblCellMar>
            <w:top w:w="0" w:type="dxa"/>
            <w:left w:w="108" w:type="dxa"/>
            <w:bottom w:w="0" w:type="dxa"/>
            <w:right w:w="108" w:type="dxa"/>
          </w:tblCellMar>
        </w:tblPrEx>
        <w:trPr>
          <w:trHeight w:val="548"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1043C1A3">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w:t>
            </w:r>
          </w:p>
        </w:tc>
        <w:tc>
          <w:tcPr>
            <w:tcW w:w="2040" w:type="pct"/>
            <w:tcBorders>
              <w:top w:val="single" w:color="000000" w:sz="4" w:space="0"/>
              <w:left w:val="single" w:color="000000" w:sz="4" w:space="0"/>
              <w:bottom w:val="single" w:color="000000" w:sz="4" w:space="0"/>
              <w:right w:val="single" w:color="000000" w:sz="4" w:space="0"/>
            </w:tcBorders>
            <w:noWrap w:val="0"/>
            <w:vAlign w:val="center"/>
          </w:tcPr>
          <w:p w14:paraId="75426D94">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水晶饼</w:t>
            </w:r>
          </w:p>
        </w:tc>
        <w:tc>
          <w:tcPr>
            <w:tcW w:w="895" w:type="pct"/>
            <w:tcBorders>
              <w:top w:val="single" w:color="000000" w:sz="4" w:space="0"/>
              <w:left w:val="single" w:color="000000" w:sz="4" w:space="0"/>
              <w:bottom w:val="single" w:color="000000" w:sz="4" w:space="0"/>
              <w:right w:val="single" w:color="000000" w:sz="4" w:space="0"/>
            </w:tcBorders>
            <w:noWrap w:val="0"/>
            <w:vAlign w:val="center"/>
          </w:tcPr>
          <w:p w14:paraId="26076DFC">
            <w:pPr>
              <w:widowControl/>
              <w:jc w:val="center"/>
              <w:textAlignment w:val="center"/>
              <w:rPr>
                <w:rFonts w:hint="eastAsia" w:ascii="宋体" w:hAnsi="宋体" w:eastAsia="宋体" w:cs="宋体"/>
                <w:color w:val="000000"/>
                <w:sz w:val="24"/>
                <w:szCs w:val="24"/>
                <w:highlight w:val="none"/>
                <w:lang w:val="en-US" w:eastAsia="zh-CN"/>
              </w:rPr>
            </w:pPr>
          </w:p>
        </w:tc>
        <w:tc>
          <w:tcPr>
            <w:tcW w:w="807" w:type="pct"/>
            <w:tcBorders>
              <w:top w:val="single" w:color="000000" w:sz="4" w:space="0"/>
              <w:left w:val="single" w:color="000000" w:sz="4" w:space="0"/>
              <w:bottom w:val="single" w:color="000000" w:sz="4" w:space="0"/>
              <w:right w:val="single" w:color="000000" w:sz="4" w:space="0"/>
            </w:tcBorders>
            <w:noWrap w:val="0"/>
            <w:vAlign w:val="center"/>
          </w:tcPr>
          <w:p w14:paraId="44D5A813">
            <w:pPr>
              <w:widowControl/>
              <w:jc w:val="center"/>
              <w:textAlignment w:val="center"/>
              <w:rPr>
                <w:rFonts w:hint="eastAsia" w:ascii="宋体" w:hAnsi="宋体" w:eastAsia="宋体" w:cs="宋体"/>
                <w:color w:val="000000"/>
                <w:sz w:val="24"/>
                <w:szCs w:val="24"/>
                <w:highlight w:val="none"/>
                <w:lang w:val="en-US" w:eastAsia="zh-CN"/>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14:paraId="4ABCA81A">
            <w:pPr>
              <w:widowControl/>
              <w:jc w:val="center"/>
              <w:textAlignment w:val="center"/>
              <w:rPr>
                <w:rFonts w:hint="eastAsia" w:ascii="宋体" w:hAnsi="宋体" w:eastAsia="宋体" w:cs="宋体"/>
                <w:color w:val="000000"/>
                <w:sz w:val="24"/>
                <w:szCs w:val="24"/>
                <w:highlight w:val="none"/>
                <w:lang w:val="en-US" w:eastAsia="zh-CN"/>
              </w:rPr>
            </w:pPr>
          </w:p>
        </w:tc>
      </w:tr>
      <w:tr w14:paraId="244D6042">
        <w:tblPrEx>
          <w:tblCellMar>
            <w:top w:w="0" w:type="dxa"/>
            <w:left w:w="108" w:type="dxa"/>
            <w:bottom w:w="0" w:type="dxa"/>
            <w:right w:w="108" w:type="dxa"/>
          </w:tblCellMar>
        </w:tblPrEx>
        <w:trPr>
          <w:trHeight w:val="548"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49B4C109">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w:t>
            </w:r>
          </w:p>
        </w:tc>
        <w:tc>
          <w:tcPr>
            <w:tcW w:w="2040" w:type="pct"/>
            <w:tcBorders>
              <w:top w:val="single" w:color="000000" w:sz="4" w:space="0"/>
              <w:left w:val="single" w:color="000000" w:sz="4" w:space="0"/>
              <w:bottom w:val="single" w:color="000000" w:sz="4" w:space="0"/>
              <w:right w:val="single" w:color="000000" w:sz="4" w:space="0"/>
            </w:tcBorders>
            <w:noWrap w:val="0"/>
            <w:vAlign w:val="center"/>
          </w:tcPr>
          <w:p w14:paraId="27FD383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小麦粉</w:t>
            </w:r>
          </w:p>
        </w:tc>
        <w:tc>
          <w:tcPr>
            <w:tcW w:w="895" w:type="pct"/>
            <w:tcBorders>
              <w:top w:val="single" w:color="000000" w:sz="4" w:space="0"/>
              <w:left w:val="single" w:color="000000" w:sz="4" w:space="0"/>
              <w:bottom w:val="single" w:color="000000" w:sz="4" w:space="0"/>
              <w:right w:val="single" w:color="000000" w:sz="4" w:space="0"/>
            </w:tcBorders>
            <w:noWrap w:val="0"/>
            <w:vAlign w:val="center"/>
          </w:tcPr>
          <w:p w14:paraId="7C17A2EC">
            <w:pPr>
              <w:widowControl/>
              <w:jc w:val="center"/>
              <w:textAlignment w:val="center"/>
              <w:rPr>
                <w:rFonts w:hint="eastAsia" w:ascii="宋体" w:hAnsi="宋体" w:eastAsia="宋体" w:cs="宋体"/>
                <w:color w:val="000000"/>
                <w:sz w:val="24"/>
                <w:szCs w:val="24"/>
                <w:highlight w:val="none"/>
                <w:lang w:val="en-US" w:eastAsia="zh-CN"/>
              </w:rPr>
            </w:pPr>
          </w:p>
        </w:tc>
        <w:tc>
          <w:tcPr>
            <w:tcW w:w="807" w:type="pct"/>
            <w:tcBorders>
              <w:top w:val="single" w:color="000000" w:sz="4" w:space="0"/>
              <w:left w:val="single" w:color="000000" w:sz="4" w:space="0"/>
              <w:bottom w:val="single" w:color="000000" w:sz="4" w:space="0"/>
              <w:right w:val="single" w:color="000000" w:sz="4" w:space="0"/>
            </w:tcBorders>
            <w:noWrap w:val="0"/>
            <w:vAlign w:val="center"/>
          </w:tcPr>
          <w:p w14:paraId="378177F0">
            <w:pPr>
              <w:widowControl/>
              <w:jc w:val="center"/>
              <w:textAlignment w:val="center"/>
              <w:rPr>
                <w:rFonts w:hint="eastAsia" w:ascii="宋体" w:hAnsi="宋体" w:eastAsia="宋体" w:cs="宋体"/>
                <w:color w:val="000000"/>
                <w:sz w:val="24"/>
                <w:szCs w:val="24"/>
                <w:highlight w:val="none"/>
                <w:lang w:val="en-US" w:eastAsia="zh-CN"/>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14:paraId="2E878139">
            <w:pPr>
              <w:widowControl/>
              <w:jc w:val="center"/>
              <w:textAlignment w:val="center"/>
              <w:rPr>
                <w:rFonts w:hint="eastAsia" w:ascii="宋体" w:hAnsi="宋体" w:eastAsia="宋体" w:cs="宋体"/>
                <w:color w:val="000000"/>
                <w:sz w:val="24"/>
                <w:szCs w:val="24"/>
                <w:highlight w:val="none"/>
                <w:lang w:val="en-US" w:eastAsia="zh-CN"/>
              </w:rPr>
            </w:pPr>
          </w:p>
        </w:tc>
      </w:tr>
      <w:tr w14:paraId="46B983BF">
        <w:tblPrEx>
          <w:tblCellMar>
            <w:top w:w="0" w:type="dxa"/>
            <w:left w:w="108" w:type="dxa"/>
            <w:bottom w:w="0" w:type="dxa"/>
            <w:right w:w="108" w:type="dxa"/>
          </w:tblCellMar>
        </w:tblPrEx>
        <w:trPr>
          <w:trHeight w:val="548"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06C73E0C">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w:t>
            </w:r>
          </w:p>
        </w:tc>
        <w:tc>
          <w:tcPr>
            <w:tcW w:w="2040" w:type="pct"/>
            <w:tcBorders>
              <w:top w:val="single" w:color="000000" w:sz="4" w:space="0"/>
              <w:left w:val="single" w:color="000000" w:sz="4" w:space="0"/>
              <w:bottom w:val="single" w:color="000000" w:sz="4" w:space="0"/>
              <w:right w:val="single" w:color="000000" w:sz="4" w:space="0"/>
            </w:tcBorders>
            <w:noWrap w:val="0"/>
            <w:vAlign w:val="center"/>
          </w:tcPr>
          <w:p w14:paraId="038F57D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菜籽油</w:t>
            </w:r>
          </w:p>
        </w:tc>
        <w:tc>
          <w:tcPr>
            <w:tcW w:w="895" w:type="pct"/>
            <w:tcBorders>
              <w:top w:val="single" w:color="000000" w:sz="4" w:space="0"/>
              <w:left w:val="single" w:color="000000" w:sz="4" w:space="0"/>
              <w:bottom w:val="single" w:color="000000" w:sz="4" w:space="0"/>
              <w:right w:val="single" w:color="000000" w:sz="4" w:space="0"/>
            </w:tcBorders>
            <w:noWrap w:val="0"/>
            <w:vAlign w:val="center"/>
          </w:tcPr>
          <w:p w14:paraId="1BC89408">
            <w:pPr>
              <w:widowControl/>
              <w:jc w:val="center"/>
              <w:textAlignment w:val="center"/>
              <w:rPr>
                <w:rFonts w:hint="eastAsia" w:ascii="宋体" w:hAnsi="宋体" w:eastAsia="宋体" w:cs="宋体"/>
                <w:color w:val="000000"/>
                <w:sz w:val="24"/>
                <w:szCs w:val="24"/>
                <w:highlight w:val="none"/>
                <w:lang w:val="en-US" w:eastAsia="zh-CN"/>
              </w:rPr>
            </w:pPr>
          </w:p>
        </w:tc>
        <w:tc>
          <w:tcPr>
            <w:tcW w:w="807" w:type="pct"/>
            <w:tcBorders>
              <w:top w:val="single" w:color="000000" w:sz="4" w:space="0"/>
              <w:left w:val="single" w:color="000000" w:sz="4" w:space="0"/>
              <w:bottom w:val="single" w:color="000000" w:sz="4" w:space="0"/>
              <w:right w:val="single" w:color="000000" w:sz="4" w:space="0"/>
            </w:tcBorders>
            <w:noWrap w:val="0"/>
            <w:vAlign w:val="center"/>
          </w:tcPr>
          <w:p w14:paraId="7F3BB2E4">
            <w:pPr>
              <w:widowControl/>
              <w:jc w:val="center"/>
              <w:textAlignment w:val="center"/>
              <w:rPr>
                <w:rFonts w:hint="eastAsia" w:ascii="宋体" w:hAnsi="宋体" w:eastAsia="宋体" w:cs="宋体"/>
                <w:color w:val="000000"/>
                <w:sz w:val="24"/>
                <w:szCs w:val="24"/>
                <w:highlight w:val="none"/>
                <w:lang w:val="en-US" w:eastAsia="zh-CN"/>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14:paraId="390FBC33">
            <w:pPr>
              <w:widowControl/>
              <w:jc w:val="center"/>
              <w:textAlignment w:val="center"/>
              <w:rPr>
                <w:rFonts w:hint="eastAsia" w:ascii="宋体" w:hAnsi="宋体" w:eastAsia="宋体" w:cs="宋体"/>
                <w:color w:val="000000"/>
                <w:sz w:val="24"/>
                <w:szCs w:val="24"/>
                <w:highlight w:val="none"/>
                <w:lang w:val="en-US" w:eastAsia="zh-CN"/>
              </w:rPr>
            </w:pPr>
          </w:p>
        </w:tc>
      </w:tr>
      <w:tr w14:paraId="47A57A9A">
        <w:tblPrEx>
          <w:tblCellMar>
            <w:top w:w="0" w:type="dxa"/>
            <w:left w:w="108" w:type="dxa"/>
            <w:bottom w:w="0" w:type="dxa"/>
            <w:right w:w="108" w:type="dxa"/>
          </w:tblCellMar>
        </w:tblPrEx>
        <w:trPr>
          <w:trHeight w:val="548" w:hRule="atLeast"/>
        </w:trPr>
        <w:tc>
          <w:tcPr>
            <w:tcW w:w="458" w:type="pct"/>
            <w:tcBorders>
              <w:top w:val="single" w:color="000000" w:sz="4" w:space="0"/>
              <w:left w:val="single" w:color="000000" w:sz="4" w:space="0"/>
              <w:bottom w:val="single" w:color="000000" w:sz="4" w:space="0"/>
              <w:right w:val="single" w:color="000000" w:sz="4" w:space="0"/>
            </w:tcBorders>
            <w:noWrap w:val="0"/>
            <w:vAlign w:val="center"/>
          </w:tcPr>
          <w:p w14:paraId="62A7CEBB">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6</w:t>
            </w:r>
          </w:p>
        </w:tc>
        <w:tc>
          <w:tcPr>
            <w:tcW w:w="2040" w:type="pct"/>
            <w:tcBorders>
              <w:top w:val="single" w:color="000000" w:sz="4" w:space="0"/>
              <w:left w:val="single" w:color="000000" w:sz="4" w:space="0"/>
              <w:bottom w:val="single" w:color="000000" w:sz="4" w:space="0"/>
              <w:right w:val="single" w:color="000000" w:sz="4" w:space="0"/>
            </w:tcBorders>
            <w:noWrap w:val="0"/>
            <w:vAlign w:val="center"/>
          </w:tcPr>
          <w:p w14:paraId="0BF4619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挂面</w:t>
            </w:r>
          </w:p>
        </w:tc>
        <w:tc>
          <w:tcPr>
            <w:tcW w:w="895" w:type="pct"/>
            <w:tcBorders>
              <w:top w:val="single" w:color="000000" w:sz="4" w:space="0"/>
              <w:left w:val="single" w:color="000000" w:sz="4" w:space="0"/>
              <w:bottom w:val="single" w:color="000000" w:sz="4" w:space="0"/>
              <w:right w:val="single" w:color="000000" w:sz="4" w:space="0"/>
            </w:tcBorders>
            <w:noWrap w:val="0"/>
            <w:vAlign w:val="center"/>
          </w:tcPr>
          <w:p w14:paraId="00F5A8C7">
            <w:pPr>
              <w:widowControl/>
              <w:jc w:val="center"/>
              <w:textAlignment w:val="center"/>
              <w:rPr>
                <w:rFonts w:hint="eastAsia" w:ascii="宋体" w:hAnsi="宋体" w:eastAsia="宋体" w:cs="宋体"/>
                <w:color w:val="000000"/>
                <w:sz w:val="24"/>
                <w:szCs w:val="24"/>
                <w:highlight w:val="none"/>
                <w:lang w:val="en-US" w:eastAsia="zh-CN"/>
              </w:rPr>
            </w:pPr>
          </w:p>
        </w:tc>
        <w:tc>
          <w:tcPr>
            <w:tcW w:w="807" w:type="pct"/>
            <w:tcBorders>
              <w:top w:val="single" w:color="000000" w:sz="4" w:space="0"/>
              <w:left w:val="single" w:color="000000" w:sz="4" w:space="0"/>
              <w:bottom w:val="single" w:color="000000" w:sz="4" w:space="0"/>
              <w:right w:val="single" w:color="000000" w:sz="4" w:space="0"/>
            </w:tcBorders>
            <w:noWrap w:val="0"/>
            <w:vAlign w:val="center"/>
          </w:tcPr>
          <w:p w14:paraId="3CC8466C">
            <w:pPr>
              <w:widowControl/>
              <w:jc w:val="center"/>
              <w:textAlignment w:val="center"/>
              <w:rPr>
                <w:rFonts w:hint="eastAsia" w:ascii="宋体" w:hAnsi="宋体" w:eastAsia="宋体" w:cs="宋体"/>
                <w:color w:val="000000"/>
                <w:sz w:val="24"/>
                <w:szCs w:val="24"/>
                <w:highlight w:val="none"/>
                <w:lang w:val="en-US" w:eastAsia="zh-CN"/>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14:paraId="6C90E9EB">
            <w:pPr>
              <w:widowControl/>
              <w:jc w:val="center"/>
              <w:textAlignment w:val="center"/>
              <w:rPr>
                <w:rFonts w:hint="eastAsia" w:ascii="宋体" w:hAnsi="宋体" w:eastAsia="宋体" w:cs="宋体"/>
                <w:color w:val="000000"/>
                <w:sz w:val="24"/>
                <w:szCs w:val="24"/>
                <w:highlight w:val="none"/>
                <w:lang w:val="en-US" w:eastAsia="zh-CN"/>
              </w:rPr>
            </w:pPr>
          </w:p>
        </w:tc>
      </w:tr>
    </w:tbl>
    <w:p w14:paraId="65510B5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1F96B65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根据实际供应量，据实结算，最终结算总金额不超过本项目总预算。供应商与核对好货物数量金额后，及时向采购人提供税务部门出具的正式发票。票据必须与成交供应商税务登记证相符。按相关财务制度进行对账，审核无误后，支付合同价款。据实结算=中标单价*最终提供产品数量</w:t>
      </w:r>
      <w:r>
        <w:rPr>
          <w:rFonts w:hint="eastAsia" w:ascii="宋体" w:hAnsi="宋体" w:eastAsia="宋体" w:cs="宋体"/>
          <w:b/>
          <w:bCs/>
          <w:color w:val="auto"/>
          <w:kern w:val="0"/>
          <w:sz w:val="24"/>
          <w:highlight w:val="none"/>
          <w:lang w:val="en-US" w:eastAsia="zh-CN"/>
        </w:rPr>
        <w:t>。</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）结算方式：采购人按照实际采购数量据实结算。</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0430BFB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3.供应商</w:t>
      </w:r>
      <w:r>
        <w:rPr>
          <w:rFonts w:hint="eastAsia" w:ascii="宋体" w:hAnsi="宋体" w:eastAsia="宋体" w:cs="宋体"/>
          <w:b w:val="0"/>
          <w:bCs w:val="0"/>
          <w:color w:val="auto"/>
          <w:kern w:val="0"/>
          <w:sz w:val="24"/>
          <w:highlight w:val="none"/>
          <w:lang w:val="en-US" w:eastAsia="zh-CN"/>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可能对人体健康有害的物品。</w:t>
      </w:r>
    </w:p>
    <w:p w14:paraId="7193C79F">
      <w:pPr>
        <w:spacing w:line="440" w:lineRule="exact"/>
        <w:ind w:firstLine="482" w:firstLineChars="200"/>
        <w:rPr>
          <w:rFonts w:hint="eastAsia" w:ascii="宋体" w:hAnsi="宋体" w:cs="宋体"/>
          <w:b/>
          <w:bCs/>
          <w:color w:val="auto"/>
          <w:kern w:val="0"/>
          <w:sz w:val="24"/>
          <w:highlight w:val="none"/>
        </w:rPr>
      </w:pPr>
      <w:r>
        <w:rPr>
          <w:rFonts w:ascii="宋体" w:hAnsi="宋体" w:cs="宋体"/>
          <w:b/>
          <w:bCs/>
          <w:color w:val="auto"/>
          <w:kern w:val="0"/>
          <w:sz w:val="24"/>
          <w:highlight w:val="none"/>
        </w:rPr>
        <w:t>五、</w:t>
      </w:r>
      <w:bookmarkStart w:id="0" w:name="_Hlk118582087"/>
      <w:r>
        <w:rPr>
          <w:rFonts w:hint="eastAsia" w:ascii="宋体" w:hAnsi="宋体" w:cs="宋体"/>
          <w:b/>
          <w:bCs/>
          <w:color w:val="auto"/>
          <w:kern w:val="0"/>
          <w:sz w:val="24"/>
          <w:highlight w:val="none"/>
        </w:rPr>
        <w:t>包装、标识</w:t>
      </w:r>
      <w:bookmarkEnd w:id="0"/>
    </w:p>
    <w:p w14:paraId="3A39E15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14:paraId="789F62C4">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所供产品必须符合国家行业生产及经营标准，产品包装标签应符合《食品安全国家标准预包装食品标签通则》(GB7718)要求，包括产品名称、配料表、净含量、规格、生产者(或)经销者的名称、地址和联系方式、生产日期和保质期、贮存条件、食品生产许可证编号、产品标准代号等内容，标签上附有产地、食品安全等溯源信息。</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5E122406">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（一)验收流程</w:t>
      </w:r>
    </w:p>
    <w:p w14:paraId="73D13CB1">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做好卸货前的检查。双方验收人员卸货前应对场地和验收设备做好准备，并对产品的外观质量进行初步了解。产品运输必须采用符合卫生标准的外包装和运输工具，保持清洁和定期消毒，车厢内无不良气味、异味。产品应清洁，无损伤、腐烂现象，外包装完整，无寄生虫或已受虫害现象。</w:t>
      </w:r>
    </w:p>
    <w:p w14:paraId="74E21D21">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2.采取现场验收的方式，双方验收人员应认真检查产品的质量，按索票--验证--计数--入库的程序完成验收，供应商可提供原件的留原件，原件只有一份而无法提供给的查验原件后，索取复印件留存。</w:t>
      </w:r>
    </w:p>
    <w:p w14:paraId="0242C41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3.每次每种产品全部进行验收检查，对于产品验收的全部信息数据，验收人员应和供应商送货人员一起确认，并保留双方签字单据。</w:t>
      </w:r>
    </w:p>
    <w:p w14:paraId="4F28EA33">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4.检查发现产品安全质量问题的处理：</w:t>
      </w:r>
    </w:p>
    <w:p w14:paraId="11E5E25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(1)对危及人身安全的产品质量问题采取零容忍措施，一经发现，当日所送同批次产品全部退货。</w:t>
      </w:r>
    </w:p>
    <w:p w14:paraId="286D04D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(2)若检查未发现问题，而在加工食用前发现部分产品质量问题，应立即通知供应商，将问题产品退货处理。</w:t>
      </w:r>
    </w:p>
    <w:p w14:paraId="6D6F66B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（二)退(补)货流程</w:t>
      </w:r>
    </w:p>
    <w:p w14:paraId="23DA9A8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不符合质量要求的产品由验收人员提出清退，如双方对质量或重量有争议的可送具有检验资质的部门检测，同时留样备检，对数量不足或部分退货的，责成供应商以不影响产品供应为前提尽快补送。在退货过程中，对有碍公共卫生安全的产品，应按囯家有关规定处理或进行协议销毁，不退货给供应商。</w:t>
      </w:r>
    </w:p>
    <w:p w14:paraId="24468B8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(三)验收记录</w:t>
      </w:r>
    </w:p>
    <w:p w14:paraId="34A7A73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对每次验收的产品均记录名称、数量、验收情况等事项，并由双方验收人员签名确认。</w:t>
      </w:r>
    </w:p>
    <w:p w14:paraId="0B0DEBF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 xml:space="preserve">(四)验收条款 </w:t>
      </w:r>
    </w:p>
    <w:p w14:paraId="3058A8A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1.供应商所提供的产品必须符合国家行业生产及经营标准，货真价实，均能提供相应批次的合格检验证明。</w:t>
      </w:r>
    </w:p>
    <w:p w14:paraId="49507685">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2.供应商所提供的物产品必须各项技术指标完全符合国家强制性标准，符合国家有关质量检测、环保标准及产品出厂标准。</w:t>
      </w:r>
    </w:p>
    <w:p w14:paraId="54B7F78B">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3.供应商必须负责中标产品的运输、质量检测等工作，所产生的费用由供应商负责。</w:t>
      </w:r>
    </w:p>
    <w:p w14:paraId="47F012E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供应商配送产品必须按时按量按质送到指定地点，并当面核实数量，验收完毕后，双方必须在收货清单(格式自定，但必须包括产品单价、数量、重量、合价等内容)上签名确认，产品收货清单作为支付货款的依据之一。</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因运输装卸 过程中造成的损耗（例如包装严重变形、破损、食品污染、变异等）、发现的破损、变异 食品必须无条件一对一更换，</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2511C95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0C2E7B5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.中标供应商保证所有货物质量必须符合国家有关规范和相关政策。所有货物及辅材必须是未使用过的新货物，质量优良、渠道正当，配置合理。</w:t>
      </w:r>
    </w:p>
    <w:p w14:paraId="3C185AA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5.产品采购要求</w:t>
      </w:r>
    </w:p>
    <w:p w14:paraId="2B65939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所有产品的来源必须清晰，保质期在2个月以上，收货日期距保质期仍有2/3或以上，保质期2个月以下，收货日期距保质期仍有1/2或以上。同一批次同一种货物需附相应合格证明、检测报告等以能证明其货物属于质量合格产品的证件，以备核验。</w:t>
      </w:r>
    </w:p>
    <w:p w14:paraId="35B8265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2）采购的产品须具有追踪溯源体系，采购的产品须是新鲜、低农残、无污染的；产品须是正规厂家并具有合格证书且无任何添加剂的优质产品；严格按照要求采购；因运输装卸过程中造成的损耗(例如包装严重变形、破损、食品污染、变异等)，必须无条件及时更换。</w:t>
      </w:r>
    </w:p>
    <w:p w14:paraId="6451C32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3）产品采购从产品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14:paraId="0A98D86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6.产品配送要求</w:t>
      </w:r>
    </w:p>
    <w:p w14:paraId="073BFAE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供应商提供的产品数量满足采购人实际需求，配送新鲜的产品，保证产品的食品安全;凡配送的产品质量、数量与要求不符时，采购人有权拒收，并由供应商承担由此造成的直接经济损失。如遇特殊情况，供应商应在接到产品清单三小时内运送到指定的地点。</w:t>
      </w:r>
    </w:p>
    <w:p w14:paraId="5A60CD5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（2）运输工具、配送人员、包装材料和运输途中的防护措施必须符合相关规定和要求。配送车辆和人员进入单位，必须遵守采购人相关规定。</w:t>
      </w:r>
    </w:p>
    <w:p w14:paraId="25E621A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3）供应商针对此次保障项目，应在公司内部指定专门的人员负责，配备专用运输车进行配送保障(专车专用，如更换车辆需提前报备新车辆信息)，到达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14:paraId="3DB715D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（4）供应商具备组织配送、调运、包装、二次搬运的能力，配送的产品若出现任何问题，在规定的时间内重新配送。</w:t>
      </w:r>
    </w:p>
    <w:p w14:paraId="2AB9CE3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（5）供应商必须按所填订单配送，按规定时间送达。确保配送的食品优质、安全、可靠，确保运输安全，无条件更换运输过程中受到污染或变质的食品所需费用由供应商承担。</w:t>
      </w:r>
    </w:p>
    <w:p w14:paraId="30ECD65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（6）供应商在配送过程中要做好保鲜、保质措施，同时不得喷酒有毒有害物质进行保鲜或保质。否则一经查实，供应商将被取消供应资格，同时承担相应的责任。</w:t>
      </w:r>
    </w:p>
    <w:p w14:paraId="76C88CB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（7）建立出入库台账。供应商对所供产品的食品安全负责。将定期或不定期地对产品供应配送工作进行督查。对供应商提供不合格产品或不按要求配送，造成责任事故的将追究其法律责任。</w:t>
      </w:r>
    </w:p>
    <w:p w14:paraId="66ECF7A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（8）供应商在项目完成期间，严格明确安全责任，服从的日常管理和检查，有健全的安全管理制度，保证工作人员安全。如因供应商原因导致发生任何安全事故或造成人员伤亡的，由供应商完全负责。</w:t>
      </w:r>
    </w:p>
    <w:p w14:paraId="68439FF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（9）所提供的产品运输应由供应商负责，必须采用符合卫生标准的外包装和运载工具，并且要保持清洁和定期消毒。运输车厢的内仓应使用抗腐蚀、防潮、易清洁消毒的材料。车厢内无不良气味、异味。</w:t>
      </w:r>
    </w:p>
    <w:p w14:paraId="1C5FEC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7.食品安全管理要求</w:t>
      </w:r>
    </w:p>
    <w:p w14:paraId="10BB3C4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w:t>
      </w:r>
    </w:p>
    <w:p w14:paraId="4067A66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2）所提供的产品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14:paraId="7022537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8.产品采购溯源要求</w:t>
      </w:r>
    </w:p>
    <w:p w14:paraId="3F06074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（1）需记录产品名称、规格、数量、生产日期/批号、保质期、产品的产地、采购日期、运输方式、运输过程中的温度等关键条件（针对冷链产品）、入库验收记录等。</w:t>
      </w:r>
    </w:p>
    <w:p w14:paraId="40099A1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（2）建立产品采购信息档案，确保产品从生产、加工、运输到销售的全流程信息可追溯。</w:t>
      </w:r>
    </w:p>
    <w:p w14:paraId="2461FA8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（3）相关信息应准确、完整，并便于查询，消费者和监管部门可通过扫码等方式获取溯源数据。</w:t>
      </w:r>
    </w:p>
    <w:p w14:paraId="3C1E87F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（4）供应商对溯源信息的真实性和完整性负责，若产品出现任何问题，由供应商承担全部责任。</w:t>
      </w:r>
    </w:p>
    <w:p w14:paraId="5F745BE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9.供应商在项目完成期间，严格明确安全责任，服从采购人的日常管理和检查，有健全的安全管理制度，保证工作人员安全。如因供应商原因导致发生任何安全事故或造成人员伤亡的，由供应商完全负责。</w:t>
      </w:r>
    </w:p>
    <w:p w14:paraId="548FC09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10</w:t>
      </w:r>
      <w:r>
        <w:rPr>
          <w:rFonts w:hint="eastAsia" w:ascii="宋体" w:hAnsi="宋体" w:cs="宋体"/>
          <w:color w:val="auto"/>
          <w:kern w:val="0"/>
          <w:sz w:val="24"/>
          <w:highlight w:val="none"/>
        </w:rPr>
        <w:t>.若未能在交货期内完成合同规定的义务，由此对采购人造成的延误和一切损失，由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承担和赔偿。</w:t>
      </w:r>
    </w:p>
    <w:p w14:paraId="77FD35D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11</w:t>
      </w:r>
      <w:r>
        <w:rPr>
          <w:rFonts w:hint="eastAsia" w:ascii="宋体" w:hAnsi="宋体" w:cs="宋体"/>
          <w:color w:val="auto"/>
          <w:kern w:val="0"/>
          <w:sz w:val="24"/>
          <w:highlight w:val="none"/>
        </w:rPr>
        <w:t>.未按合同要求提供产品或货物质量不能满足技术要求，采购人有权终止合同，并对供方违约行为进行追究，同时按《中华人民共和国政府采购法》的有关规定进行处罚。</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eastAsia="宋体" w:cs="宋体"/>
          <w:b/>
          <w:bCs/>
          <w:color w:val="auto"/>
          <w:kern w:val="0"/>
          <w:sz w:val="24"/>
          <w:highlight w:val="none"/>
        </w:rPr>
        <w:t>不可抗力</w:t>
      </w:r>
      <w:bookmarkStart w:id="1" w:name="_GoBack"/>
      <w:bookmarkEnd w:id="1"/>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二</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本合同一式六份，采购人、供应商各执两份，其余二份提供给相关单位。</w:t>
      </w:r>
    </w:p>
    <w:p w14:paraId="04FFA10F">
      <w:pPr>
        <w:rPr>
          <w:rFonts w:hint="eastAsia" w:ascii="宋体" w:hAnsi="宋体" w:eastAsia="宋体" w:cs="宋体"/>
          <w:color w:val="auto"/>
          <w:sz w:val="24"/>
          <w:highlight w:val="none"/>
        </w:rPr>
      </w:pPr>
    </w:p>
    <w:p w14:paraId="74FC005E">
      <w:pPr>
        <w:ind w:firstLine="240" w:firstLineChars="100"/>
        <w:rPr>
          <w:rFonts w:hint="eastAsia" w:ascii="宋体" w:hAnsi="宋体" w:eastAsia="宋体" w:cs="宋体"/>
          <w:color w:val="auto"/>
          <w:sz w:val="24"/>
          <w:highlight w:val="none"/>
        </w:rPr>
      </w:pPr>
    </w:p>
    <w:p w14:paraId="57451BD1">
      <w:pPr>
        <w:ind w:firstLine="240" w:firstLineChars="100"/>
        <w:rPr>
          <w:rFonts w:hint="eastAsia" w:ascii="宋体" w:hAnsi="宋体" w:eastAsia="宋体" w:cs="宋体"/>
          <w:color w:val="auto"/>
          <w:sz w:val="24"/>
          <w:highlight w:val="none"/>
        </w:rPr>
      </w:pPr>
    </w:p>
    <w:p w14:paraId="5C1219B3">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 xml:space="preserve">（章）：        </w:t>
      </w:r>
    </w:p>
    <w:p w14:paraId="3A1FEFB5">
      <w:pPr>
        <w:ind w:firstLine="480" w:firstLineChars="200"/>
        <w:rPr>
          <w:rFonts w:hint="eastAsia" w:ascii="宋体" w:hAnsi="宋体" w:eastAsia="宋体" w:cs="宋体"/>
          <w:color w:val="auto"/>
          <w:sz w:val="24"/>
          <w:highlight w:val="none"/>
        </w:rPr>
      </w:pPr>
    </w:p>
    <w:p w14:paraId="42FD577F">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16921D84">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48D53F9"/>
    <w:rsid w:val="079A613C"/>
    <w:rsid w:val="08F44E17"/>
    <w:rsid w:val="0A6273E5"/>
    <w:rsid w:val="0B5D0AB4"/>
    <w:rsid w:val="0ED90EEF"/>
    <w:rsid w:val="1070516A"/>
    <w:rsid w:val="15E329A1"/>
    <w:rsid w:val="1BE85270"/>
    <w:rsid w:val="1C0F0A4F"/>
    <w:rsid w:val="1D772D50"/>
    <w:rsid w:val="1E7B1DF7"/>
    <w:rsid w:val="23166B67"/>
    <w:rsid w:val="280A628D"/>
    <w:rsid w:val="287E5795"/>
    <w:rsid w:val="29DE4614"/>
    <w:rsid w:val="2C617665"/>
    <w:rsid w:val="2FDB2CCA"/>
    <w:rsid w:val="34B70F01"/>
    <w:rsid w:val="39C921EB"/>
    <w:rsid w:val="3CAF1767"/>
    <w:rsid w:val="401776B5"/>
    <w:rsid w:val="40C15F0C"/>
    <w:rsid w:val="411A3378"/>
    <w:rsid w:val="411E572C"/>
    <w:rsid w:val="420A0F2A"/>
    <w:rsid w:val="431C51F7"/>
    <w:rsid w:val="43F6794C"/>
    <w:rsid w:val="46FD7F11"/>
    <w:rsid w:val="47906638"/>
    <w:rsid w:val="49D914BF"/>
    <w:rsid w:val="4B5210A3"/>
    <w:rsid w:val="4C96649F"/>
    <w:rsid w:val="50044C98"/>
    <w:rsid w:val="53735512"/>
    <w:rsid w:val="539F20DD"/>
    <w:rsid w:val="56A85310"/>
    <w:rsid w:val="5A56726E"/>
    <w:rsid w:val="61D03DA9"/>
    <w:rsid w:val="72C14FC3"/>
    <w:rsid w:val="76355158"/>
    <w:rsid w:val="76B7148E"/>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2981</Words>
  <Characters>3047</Characters>
  <Lines>0</Lines>
  <Paragraphs>0</Paragraphs>
  <TotalTime>0</TotalTime>
  <ScaleCrop>false</ScaleCrop>
  <LinksUpToDate>false</LinksUpToDate>
  <CharactersWithSpaces>3160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WPS_1763105243</cp:lastModifiedBy>
  <dcterms:modified xsi:type="dcterms:W3CDTF">2026-01-15T01:52:28Z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eyJoZGlkIjoiNzJjY2M5OTVjNGM0MTQ2YTJhMjI4NjJlOGU5NjUwNjQiLCJ1c2VySWQiOiIxNzcwMzk1OTI4In0=</vt:lpwstr>
  </property>
</Properties>
</file>