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版本号：SXCFY2026011020260121001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SXCFY20260110</w:t>
      </w:r>
      <w:r>
        <w:br/>
      </w:r>
      <w:r>
        <w:br/>
      </w:r>
      <w:r>
        <w:br/>
      </w:r>
    </w:p>
    <w:p>
      <w:pPr>
        <w:pStyle w:val="null3"/>
        <w:jc w:val="center"/>
        <w:outlineLvl w:val="2"/>
      </w:pPr>
      <w:r>
        <w:rPr>
          <w:rFonts w:ascii="仿宋_GB2312" w:hAnsi="仿宋_GB2312" w:cs="仿宋_GB2312" w:eastAsia="仿宋_GB2312"/>
          <w:sz w:val="28"/>
          <w:b/>
        </w:rPr>
        <w:t>西安交大附小渭南分校</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西安交大附小渭南分校</w:t>
      </w:r>
      <w:r>
        <w:rPr>
          <w:rFonts w:ascii="仿宋_GB2312" w:hAnsi="仿宋_GB2312" w:cs="仿宋_GB2312" w:eastAsia="仿宋_GB2312"/>
        </w:rPr>
        <w:t>委托，拟对</w:t>
      </w:r>
      <w:r>
        <w:rPr>
          <w:rFonts w:ascii="仿宋_GB2312" w:hAnsi="仿宋_GB2312" w:cs="仿宋_GB2312" w:eastAsia="仿宋_GB2312"/>
        </w:rPr>
        <w:t>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SXCFY20260110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交大附小渭南分校餐厅劳务服务项目，提供学校学生食堂的人力资源服务，包括但不限于验收食材、出入库、粗加工、切配、烹饪、分餐、配餐、清洗消毒、环境卫生、食品留样、资质查验、加工记录及资料整理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1、资质：供应商须提供有效的《食品经营许可证》</w:t>
      </w:r>
    </w:p>
    <w:p>
      <w:pPr>
        <w:pStyle w:val="null3"/>
      </w:pPr>
      <w:r>
        <w:rPr>
          <w:rFonts w:ascii="仿宋_GB2312" w:hAnsi="仿宋_GB2312" w:cs="仿宋_GB2312" w:eastAsia="仿宋_GB2312"/>
        </w:rPr>
        <w:t>2、法人授权书（证明书）：法定代表人参加投标时，提供法定代表人证明书；授权代表参加投标时，提供法定代表人授权书；非法人单位参照执行。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西安交大附小渭南分校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渭南市临渭区东湖路与民庆路十字东北角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0913-2133615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19909135259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阮旭静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开户银行：中信银行股份有限公司西安咸宁路支行（投标人缴纳保证金时，请备注“SXCFY20260110投标保证金”</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向陕西诚方源项目管理有限公司交纳招标代理服务费，招标代理服务费采用现金、电汇或银行转账方式交纳，不得采用投标保证金抵扣。 服务费交纳账户： 开户名称：陕西诚方源项目管理有限公司 开户银行：中信银行股份有限公司西安咸宁路支行 银行账户：8111701011600592875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西安交大附小渭南分校</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西安交大附小渭南分校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西安交大附小渭南分校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符合《中华人民共和国食品安全法》及有关法律法规</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交大附小渭南分校餐厅劳务服务项目，提供学校学生食堂的人力资源服务，包括但不限于验收食材、出入库、粗加工、切配、烹饪、分餐、配餐、清洗消毒、环境卫生、食品留样、资质查验、加工记录及资料整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987,000.00</w:t>
      </w:r>
    </w:p>
    <w:p>
      <w:pPr>
        <w:pStyle w:val="null3"/>
      </w:pPr>
      <w:r>
        <w:rPr>
          <w:rFonts w:ascii="仿宋_GB2312" w:hAnsi="仿宋_GB2312" w:cs="仿宋_GB2312" w:eastAsia="仿宋_GB2312"/>
        </w:rPr>
        <w:t>采购包最高限价（元）: 987,000.00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西安交大附小渭南分校餐厅劳务服务项目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标的名称：西安交大附小渭南分校餐厅劳务服务项目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本校共有学生、教职工约</w:t>
            </w:r>
            <w:r>
              <w:rPr>
                <w:rFonts w:ascii="仿宋_GB2312" w:hAnsi="仿宋_GB2312" w:cs="仿宋_GB2312" w:eastAsia="仿宋_GB2312"/>
                <w:sz w:val="20"/>
                <w:color w:val="000000"/>
                <w:shd w:fill="FFFFFF" w:val="clear"/>
              </w:rPr>
              <w:t>1900人，投标人拟投入人员数量要求要满足全校师生用餐要求；所有人员必须有健康证并无重大疾病史，厨房主厨应持有厨师证，最少3名人员持有资格证，所有人员持无犯罪证明。更换人员也须提供相应健康证，同时在岗期间健康证过期时应由供应商负责提供办理。</w:t>
            </w:r>
          </w:p>
          <w:p>
            <w:pPr>
              <w:pStyle w:val="null3"/>
              <w:jc w:val="both"/>
            </w:pPr>
            <w:r>
              <w:rPr>
                <w:rFonts w:ascii="仿宋_GB2312" w:hAnsi="仿宋_GB2312" w:cs="仿宋_GB2312" w:eastAsia="仿宋_GB2312"/>
                <w:sz w:val="20"/>
                <w:color w:val="000000"/>
                <w:shd w:fill="FFFFFF" w:val="clear"/>
              </w:rPr>
              <w:t>2、采购人有权对供应商饭菜质量、操作人员卫生、言行、衣着、食堂内卫生等方面监督检查，发现问题，责令供应商整改。供应商应主动接受采购人监督，并及时提出解决方案并落实。</w:t>
            </w:r>
          </w:p>
          <w:p>
            <w:pPr>
              <w:pStyle w:val="null3"/>
              <w:jc w:val="both"/>
            </w:pPr>
            <w:r>
              <w:rPr>
                <w:rFonts w:ascii="仿宋_GB2312" w:hAnsi="仿宋_GB2312" w:cs="仿宋_GB2312" w:eastAsia="仿宋_GB2312"/>
                <w:sz w:val="20"/>
                <w:color w:val="000000"/>
                <w:shd w:fill="FFFFFF" w:val="clear"/>
              </w:rPr>
              <w:t>3、采购人具有对供应商所录用工作人员的建议权和否决权。采购人有权要求供应商无条件更换不符合要求(如无健康证、违规操作等)的工作人员。</w:t>
            </w:r>
          </w:p>
          <w:p>
            <w:pPr>
              <w:pStyle w:val="null3"/>
              <w:jc w:val="both"/>
            </w:pPr>
            <w:r>
              <w:rPr>
                <w:rFonts w:ascii="仿宋_GB2312" w:hAnsi="仿宋_GB2312" w:cs="仿宋_GB2312" w:eastAsia="仿宋_GB2312"/>
                <w:sz w:val="20"/>
                <w:color w:val="000000"/>
                <w:shd w:fill="FFFFFF" w:val="clear"/>
              </w:rPr>
              <w:t>4、供应商须严格遵守国家、省市的法律法规要求，为学生提供专业规范、安全、高质量的服务。保证所有关键控制点处于受控状态，无质量事故和食品安全事故。</w:t>
            </w:r>
          </w:p>
          <w:p>
            <w:pPr>
              <w:pStyle w:val="null3"/>
              <w:jc w:val="both"/>
            </w:pPr>
            <w:r>
              <w:rPr>
                <w:rFonts w:ascii="仿宋_GB2312" w:hAnsi="仿宋_GB2312" w:cs="仿宋_GB2312" w:eastAsia="仿宋_GB2312"/>
                <w:sz w:val="20"/>
                <w:color w:val="000000"/>
                <w:shd w:fill="FFFFFF" w:val="clear"/>
              </w:rPr>
              <w:t>5、根据餐厅服务项目实际、就餐人员数量，制定餐厅服务方案，核定岗位，配足配齐服务人员，明确责任，餐厅经理具有餐厅管理经验；</w:t>
            </w:r>
          </w:p>
          <w:p>
            <w:pPr>
              <w:pStyle w:val="null3"/>
              <w:jc w:val="both"/>
            </w:pPr>
            <w:r>
              <w:rPr>
                <w:rFonts w:ascii="仿宋_GB2312" w:hAnsi="仿宋_GB2312" w:cs="仿宋_GB2312" w:eastAsia="仿宋_GB2312"/>
                <w:sz w:val="20"/>
                <w:color w:val="000000"/>
                <w:shd w:fill="FFFFFF" w:val="clear"/>
              </w:rPr>
              <w:t>6、根据我校就餐人员结构制定供餐方案，在人员配备、规章制度、食品安全、质量等方面明确保障措施；</w:t>
            </w:r>
          </w:p>
          <w:p>
            <w:pPr>
              <w:pStyle w:val="null3"/>
              <w:jc w:val="both"/>
            </w:pPr>
            <w:r>
              <w:rPr>
                <w:rFonts w:ascii="仿宋_GB2312" w:hAnsi="仿宋_GB2312" w:cs="仿宋_GB2312" w:eastAsia="仿宋_GB2312"/>
                <w:sz w:val="20"/>
                <w:color w:val="000000"/>
                <w:shd w:fill="FFFFFF" w:val="clear"/>
              </w:rPr>
              <w:t>7、根据学校工作安排特点，每日提供午餐及晚餐用餐服务；</w:t>
            </w:r>
          </w:p>
          <w:p>
            <w:pPr>
              <w:pStyle w:val="null3"/>
              <w:jc w:val="both"/>
            </w:pPr>
            <w:r>
              <w:rPr>
                <w:rFonts w:ascii="仿宋_GB2312" w:hAnsi="仿宋_GB2312" w:cs="仿宋_GB2312" w:eastAsia="仿宋_GB2312"/>
                <w:sz w:val="20"/>
                <w:color w:val="000000"/>
                <w:shd w:fill="FFFFFF" w:val="clear"/>
              </w:rPr>
              <w:t>8、提供师生临时活动的用餐服务；</w:t>
            </w:r>
          </w:p>
          <w:p>
            <w:pPr>
              <w:pStyle w:val="null3"/>
              <w:jc w:val="both"/>
            </w:pPr>
            <w:r>
              <w:rPr>
                <w:rFonts w:ascii="仿宋_GB2312" w:hAnsi="仿宋_GB2312" w:cs="仿宋_GB2312" w:eastAsia="仿宋_GB2312"/>
                <w:sz w:val="20"/>
                <w:color w:val="000000"/>
                <w:shd w:fill="FFFFFF" w:val="clear"/>
              </w:rPr>
              <w:t>9、需掌握食品安全和食堂安全的关键点与知识点，保证操作间、餐厅、餐具、炊具及工作人员卫生符合国家关于餐饮行业的卫生标准；</w:t>
            </w:r>
          </w:p>
          <w:p>
            <w:pPr>
              <w:pStyle w:val="null3"/>
              <w:jc w:val="both"/>
            </w:pPr>
            <w:r>
              <w:rPr>
                <w:rFonts w:ascii="仿宋_GB2312" w:hAnsi="仿宋_GB2312" w:cs="仿宋_GB2312" w:eastAsia="仿宋_GB2312"/>
                <w:sz w:val="20"/>
                <w:color w:val="000000"/>
                <w:shd w:fill="FFFFFF" w:val="clear"/>
              </w:rPr>
              <w:t>10、具备多样化套餐选择，每周对菜谱编制进行调整，保证菜品质量、口味，能适应不同餐饮需求；</w:t>
            </w:r>
          </w:p>
          <w:p>
            <w:pPr>
              <w:pStyle w:val="null3"/>
              <w:jc w:val="both"/>
            </w:pPr>
            <w:r>
              <w:rPr>
                <w:rFonts w:ascii="仿宋_GB2312" w:hAnsi="仿宋_GB2312" w:cs="仿宋_GB2312" w:eastAsia="仿宋_GB2312"/>
                <w:sz w:val="20"/>
                <w:color w:val="000000"/>
                <w:shd w:fill="FFFFFF" w:val="clear"/>
              </w:rPr>
              <w:t>11、能制作美味兼具特色的地方风味小吃，满足就餐人员口味；</w:t>
            </w:r>
          </w:p>
          <w:p>
            <w:pPr>
              <w:pStyle w:val="null3"/>
              <w:jc w:val="both"/>
            </w:pPr>
            <w:r>
              <w:rPr>
                <w:rFonts w:ascii="仿宋_GB2312" w:hAnsi="仿宋_GB2312" w:cs="仿宋_GB2312" w:eastAsia="仿宋_GB2312"/>
                <w:sz w:val="20"/>
                <w:color w:val="000000"/>
                <w:shd w:fill="FFFFFF" w:val="clear"/>
              </w:rPr>
              <w:t>12、保持餐厅环境卫生整洁、人员服务礼貌热情周到；</w:t>
            </w:r>
          </w:p>
          <w:p>
            <w:pPr>
              <w:pStyle w:val="null3"/>
              <w:jc w:val="both"/>
            </w:pPr>
            <w:r>
              <w:rPr>
                <w:rFonts w:ascii="仿宋_GB2312" w:hAnsi="仿宋_GB2312" w:cs="仿宋_GB2312" w:eastAsia="仿宋_GB2312"/>
                <w:sz w:val="20"/>
                <w:color w:val="000000"/>
                <w:shd w:fill="FFFFFF" w:val="clear"/>
              </w:rPr>
              <w:t>13、根据供餐需求确定采购计划，加强原材料采购、验收标准，合理控制运营成本，杜绝浪费现象发生。</w:t>
            </w:r>
            <w:r>
              <w:rPr>
                <w:rFonts w:ascii="仿宋_GB2312" w:hAnsi="仿宋_GB2312" w:cs="仿宋_GB2312" w:eastAsia="仿宋_GB2312"/>
                <w:sz w:val="20"/>
                <w:color w:val="000000"/>
                <w:shd w:fill="FFFFFF" w:val="clear"/>
              </w:rPr>
              <w:t>如发生过度浪费等情况，采购人有权要求赔偿。</w:t>
            </w:r>
          </w:p>
          <w:p>
            <w:pPr>
              <w:pStyle w:val="null3"/>
              <w:jc w:val="both"/>
            </w:pPr>
            <w:r>
              <w:rPr>
                <w:rFonts w:ascii="仿宋_GB2312" w:hAnsi="仿宋_GB2312" w:cs="仿宋_GB2312" w:eastAsia="仿宋_GB2312"/>
                <w:sz w:val="20"/>
                <w:color w:val="000000"/>
                <w:shd w:fill="FFFFFF" w:val="clear"/>
              </w:rPr>
              <w:t>14、按要求规范操作的资料整理。</w:t>
            </w:r>
          </w:p>
          <w:p>
            <w:pPr>
              <w:pStyle w:val="null3"/>
              <w:jc w:val="both"/>
            </w:pPr>
            <w:r>
              <w:rPr>
                <w:rFonts w:ascii="仿宋_GB2312" w:hAnsi="仿宋_GB2312" w:cs="仿宋_GB2312" w:eastAsia="仿宋_GB2312"/>
                <w:sz w:val="20"/>
                <w:color w:val="000000"/>
                <w:shd w:fill="FFFFFF" w:val="clear"/>
              </w:rPr>
              <w:t>15、在服务范围内按工作内容和要求制定详细的方案，方案科学、合理、可靠。</w:t>
            </w:r>
          </w:p>
          <w:p>
            <w:pPr>
              <w:pStyle w:val="null3"/>
              <w:jc w:val="both"/>
            </w:pPr>
            <w:r>
              <w:rPr>
                <w:rFonts w:ascii="仿宋_GB2312" w:hAnsi="仿宋_GB2312" w:cs="仿宋_GB2312" w:eastAsia="仿宋_GB2312"/>
                <w:sz w:val="20"/>
                <w:color w:val="000000"/>
                <w:shd w:fill="FFFFFF" w:val="clear"/>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jc w:val="both"/>
            </w:pPr>
            <w:r>
              <w:rPr>
                <w:rFonts w:ascii="仿宋_GB2312" w:hAnsi="仿宋_GB2312" w:cs="仿宋_GB2312" w:eastAsia="仿宋_GB2312"/>
                <w:sz w:val="20"/>
                <w:color w:val="000000"/>
                <w:shd w:fill="FFFFFF" w:val="clear"/>
              </w:rPr>
              <w:t>17、工作人员上岗前必须通过相关医院（或疾控部门）的体检，并领取饮食行业健康证。必须满足身体健康、无传染性疾病的条件，每年应定期体检并接受卫生安全知识培训，办理有效健康证。</w:t>
            </w:r>
          </w:p>
          <w:p>
            <w:pPr>
              <w:pStyle w:val="null3"/>
              <w:jc w:val="both"/>
            </w:pPr>
            <w:r>
              <w:rPr>
                <w:rFonts w:ascii="仿宋_GB2312" w:hAnsi="仿宋_GB2312" w:cs="仿宋_GB2312" w:eastAsia="仿宋_GB2312"/>
                <w:sz w:val="20"/>
                <w:color w:val="000000"/>
                <w:shd w:fill="FFFFFF" w:val="clear"/>
              </w:rPr>
              <w:t>18、有各类突发事件的应急预案和措施，有明确具体的承诺。</w:t>
            </w:r>
          </w:p>
          <w:p>
            <w:pPr>
              <w:pStyle w:val="null3"/>
              <w:jc w:val="both"/>
            </w:pPr>
            <w:r>
              <w:rPr>
                <w:rFonts w:ascii="仿宋_GB2312" w:hAnsi="仿宋_GB2312" w:cs="仿宋_GB2312" w:eastAsia="仿宋_GB2312"/>
                <w:sz w:val="20"/>
                <w:color w:val="000000"/>
                <w:shd w:fill="FFFFFF" w:val="clear"/>
              </w:rPr>
              <w:t>19、供应商所拟派的工作人员，若在服务期间发生任何伤害，采购人概不负责，由供应商自行处理。</w:t>
            </w:r>
          </w:p>
          <w:p>
            <w:pPr>
              <w:pStyle w:val="null3"/>
              <w:jc w:val="both"/>
            </w:pPr>
            <w:r>
              <w:rPr>
                <w:rFonts w:ascii="仿宋_GB2312" w:hAnsi="仿宋_GB2312" w:cs="仿宋_GB2312" w:eastAsia="仿宋_GB2312"/>
                <w:sz w:val="20"/>
                <w:color w:val="000000"/>
                <w:shd w:fill="FFFFFF" w:val="clear"/>
              </w:rPr>
              <w:t>20、按照“与就餐人数之比不低于</w:t>
            </w:r>
            <w:r>
              <w:rPr>
                <w:rFonts w:ascii="仿宋_GB2312" w:hAnsi="仿宋_GB2312" w:cs="仿宋_GB2312" w:eastAsia="仿宋_GB2312"/>
                <w:sz w:val="20"/>
                <w:color w:val="000000"/>
                <w:shd w:fill="FFFFFF" w:val="clear"/>
              </w:rPr>
              <w:t>1:80</w:t>
            </w:r>
            <w:r>
              <w:rPr>
                <w:rFonts w:ascii="仿宋_GB2312" w:hAnsi="仿宋_GB2312" w:cs="仿宋_GB2312" w:eastAsia="仿宋_GB2312"/>
                <w:sz w:val="20"/>
                <w:color w:val="000000"/>
                <w:shd w:fill="FFFFFF" w:val="clear"/>
              </w:rPr>
              <w:t>的比例足额配齐学校食堂从业人员</w:t>
            </w:r>
            <w:r>
              <w:rPr>
                <w:rFonts w:ascii="仿宋_GB2312" w:hAnsi="仿宋_GB2312" w:cs="仿宋_GB2312" w:eastAsia="仿宋_GB2312"/>
                <w:sz w:val="20"/>
                <w:color w:val="000000"/>
                <w:shd w:fill="FFFFFF" w:val="clear"/>
              </w:rPr>
              <w:t>” 的原则</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按照</w:t>
            </w:r>
            <w:r>
              <w:rPr>
                <w:rFonts w:ascii="仿宋_GB2312" w:hAnsi="仿宋_GB2312" w:cs="仿宋_GB2312" w:eastAsia="仿宋_GB2312"/>
                <w:sz w:val="20"/>
                <w:color w:val="000000"/>
                <w:shd w:fill="FFFFFF" w:val="clear"/>
              </w:rPr>
              <w:t>实际服务天数进行据实结算。</w:t>
            </w:r>
          </w:p>
          <w:p>
            <w:pPr>
              <w:pStyle w:val="null3"/>
            </w:pPr>
            <w:r>
              <w:rPr>
                <w:rFonts w:ascii="仿宋_GB2312" w:hAnsi="仿宋_GB2312" w:cs="仿宋_GB2312" w:eastAsia="仿宋_GB2312"/>
                <w:sz w:val="20"/>
                <w:color w:val="000000"/>
                <w:shd w:fill="FFFFFF" w:val="clear"/>
              </w:rPr>
              <w:t>注：以上内容为实质性要求，不允许负偏离，若出现负偏离，按无效投标处理。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2026年3月至2027年1月（具体起止时间以学校通知的开学、放假时间为准）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西安交大附小渭南分校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采购人按照政府采购合同约定的服务标准组织对投标人的履约情况进行验收，并出具验收报告。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按照“与就餐人数之比不低于1:80的比例足额配齐学校食堂从业人员” 的原则以及实际服务天数进行据实结算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（1）供应商若中途停止供餐或因违反食品安全要求及学校有关规定给学校及师生造成损失,供应商应付相应法律责任及全部经济责任。如构成犯罪的应依法承担刑事责任。 （2）供应商承诺的各项服务内容和服务指标要认真落实，采购人将采取定期和不定期的方式检查和抽查，未达到合同中服务质量、标准的承担相应的违约赔偿。（3）供应商在合同期间不履职尽责，不接受采购人管理;对上级部门在检查过程中指出的问题不及时整改，被行政处罚;发生食品安全事故等，采购人有权终止合同。 （3）合同期满后,供应商应负责将采购人所有资产完好交还甲方,否则采购人将按资产的实际损失收取修理费或赔偿费。 （4）供应商逾期无法办理从业人员健康证,采购人有权责令供应商整改。因供应商不具备上述证件而使采购人被相关部门处罚,供应商应负赔偿责任。 （5）若供应商违反合同中任一条款,采购人将有权责令其限期整改,整改不到位的，终止合同。 （6）若供应商将经营权转包给他人经营的,采购人有权中止合同。（7）采购人应按时向供应商支付购买劳动服务费用，否则，承担相应的赔偿责任。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3.3商务要求”为实质性要求，未完全响应或负偏离按无效磋商处理。2、根据《政府采购法实施条例》释义，银行、保险、石油石化、电力、电信等有行业特殊情况的，允许法人的分支机构参加政府采购活动。3、中标(成交)供应商在中标(成交)结果公告发布后3个工作日内提供叁套投标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代理机构在资格审查环节在线对各投标单位财务审计报告进行查询，并对查询结果截图保存，若在注册会计师行业统一监管平台无法查询，将视为不响应）</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提供2025年6月至今已缴存的至少一个月的社会保障资金缴存凭证或社保机构开具的社会保险参保证明，依法不需要缴纳社会保障资金的单位应提供相关证明材料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3、基本资格要求.docx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4、特殊资格要求.docx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4、特殊资格要求.docx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4、特殊资格要求.docx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6、商务响应表.docx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招标文件技术要求响应情况，若加★号负偏离，投标无效。</w:t>
            </w:r>
          </w:p>
        </w:tc>
        <w:tc>
          <w:tcPr>
            <w:tcW w:type="dxa" w:w="1661"/>
          </w:tcPr>
          <w:p>
            <w:pPr>
              <w:pStyle w:val="null3"/>
            </w:pPr>
            <w:r>
              <w:rPr>
                <w:rFonts w:ascii="仿宋_GB2312" w:hAnsi="仿宋_GB2312" w:cs="仿宋_GB2312" w:eastAsia="仿宋_GB2312"/>
              </w:rPr>
              <w:t>5、技术指标偏离表.docx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8、商务部分-管理机构及制度.docx 7、商务部分-人员配备.docx 12、技术部分-菜品搭配与安全.docx 中小企业声明函 11、技术部分-应急方案.docx 9、商务部分-业绩.docx 2、陕西省政府采购供应商拒绝政府采购领域商业贿赂承诺书.docx 5、技术指标偏离表.docx 10、技术部分-质量保证方案.docx 投标函 残疾人福利性单位声明函 1、分项报价表.docx 13、技术部分-时效保障措施.docx 3、基本资格要求.docx 标的清单 14、技术部分-合理化建议.docx 投标文件封面 6、商务响应表.docx 监狱企业的证明文件 4、特殊资格要求.docx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供应商未提供拒绝政府采购领域商业贿赂承诺书，投标无效。</w:t>
            </w:r>
          </w:p>
        </w:tc>
        <w:tc>
          <w:tcPr>
            <w:tcW w:type="dxa" w:w="1661"/>
          </w:tcPr>
          <w:p>
            <w:pPr>
              <w:pStyle w:val="null3"/>
            </w:pPr>
            <w:r>
              <w:rPr>
                <w:rFonts w:ascii="仿宋_GB2312" w:hAnsi="仿宋_GB2312" w:cs="仿宋_GB2312" w:eastAsia="仿宋_GB2312"/>
              </w:rPr>
              <w:t>2、陕西省政府采购供应商拒绝政府采购领域商业贿赂承诺书.docx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1、分项报价表.docx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商务部分-人员配备</w:t>
            </w:r>
          </w:p>
        </w:tc>
        <w:tc>
          <w:tcPr>
            <w:tcW w:type="dxa" w:w="2492"/>
          </w:tcPr>
          <w:p>
            <w:pPr>
              <w:pStyle w:val="null3"/>
            </w:pPr>
            <w:r>
              <w:rPr>
                <w:rFonts w:ascii="仿宋_GB2312" w:hAnsi="仿宋_GB2312" w:cs="仿宋_GB2312" w:eastAsia="仿宋_GB2312"/>
              </w:rPr>
              <w:t>一、评审内容 提供针对本项目特点的人员配备，内容包括：①组织计划；②项目组成人员；③人员培训方案 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7、商务部分-人员配备.docx</w:t>
            </w:r>
          </w:p>
        </w:tc>
      </w:tr>
      <w:tr>
        <w:tc>
          <w:tcPr>
            <w:tcW w:type="dxa" w:w="831"/>
            <w:vMerge/>
          </w:tcPr>
          <w:p/>
        </w:tc>
        <w:tc>
          <w:tcPr>
            <w:tcW w:type="dxa" w:w="1661"/>
          </w:tcPr>
          <w:p>
            <w:pPr>
              <w:pStyle w:val="null3"/>
            </w:pPr>
            <w:r>
              <w:rPr>
                <w:rFonts w:ascii="仿宋_GB2312" w:hAnsi="仿宋_GB2312" w:cs="仿宋_GB2312" w:eastAsia="仿宋_GB2312"/>
              </w:rPr>
              <w:t>商务部分-管理机构及制度</w:t>
            </w:r>
          </w:p>
        </w:tc>
        <w:tc>
          <w:tcPr>
            <w:tcW w:type="dxa" w:w="2492"/>
          </w:tcPr>
          <w:p>
            <w:pPr>
              <w:pStyle w:val="null3"/>
            </w:pPr>
            <w:r>
              <w:rPr>
                <w:rFonts w:ascii="仿宋_GB2312" w:hAnsi="仿宋_GB2312" w:cs="仿宋_GB2312" w:eastAsia="仿宋_GB2312"/>
              </w:rPr>
              <w:t>一、评审内容 根据项目实际需求，提供管理机构及制度。内容包含：①各岗位管理制度；②自查制度；③奖惩考核机制；④安全防范；⑤卫生保障；⑥服务态度、服务时间；⑦消杀管理；⑧服务时间；⑨食堂库房管理。 二、评审标准： 1.完整性：方案全面，对评审内容中的各项要求有详细阐述； 2.可实施性：切合本项目实际情况，提出步骤清晰、合理的方案； 3.针对性：方案能够紧扣项目实际情况，内容科学合理。 上述9项评审内容全部满足评审标准及采购需求13.5分，每有一个评审内容缺项扣1.5分，每一项评审内容中每出现一处缺陷扣0.5分，扣完为止。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8、商务部分-管理机构及制度.docx</w:t>
            </w:r>
          </w:p>
        </w:tc>
      </w:tr>
      <w:tr>
        <w:tc>
          <w:tcPr>
            <w:tcW w:type="dxa" w:w="831"/>
            <w:vMerge/>
          </w:tcP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提供投标人2023年1月至今（时间以合同签订时间为准）类似项目业绩，每份2.5分，不提供不得分。 备注：需提供完整业绩合同，并加盖投标人公章。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9、商务部分-业绩.docx</w:t>
            </w:r>
          </w:p>
        </w:tc>
      </w:tr>
      <w:tr>
        <w:tc>
          <w:tcPr>
            <w:tcW w:type="dxa" w:w="831"/>
            <w:vMerge/>
          </w:tcPr>
          <w:p/>
        </w:tc>
        <w:tc>
          <w:tcPr>
            <w:tcW w:type="dxa" w:w="1661"/>
          </w:tcPr>
          <w:p>
            <w:pPr>
              <w:pStyle w:val="null3"/>
            </w:pPr>
            <w:r>
              <w:rPr>
                <w:rFonts w:ascii="仿宋_GB2312" w:hAnsi="仿宋_GB2312" w:cs="仿宋_GB2312" w:eastAsia="仿宋_GB2312"/>
              </w:rPr>
              <w:t>技术部分-质量保证方案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根据项目实际需求提供质量保证方案。内容包含：①环境与卫生；②安全执行标准、检验检查；③日常检查的措施；④食品品质新鲜。 二、评审标准： 1.完整性：方案全面，对评审内容中的各项要求有详细阐述； 2.可实施性：切合本项目实际情况，提出步骤清晰、合理的方案； 3.针对性：方案能够紧扣项目实际情况，内容科学合理。 上述4项评审内容全部满足评审标准及采购需求24分，每有一个评审内容缺项扣6分，每一项评审内容中每出现一处缺陷扣2分，扣完为止。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10、技术部分-质量保证方案.docx</w:t>
            </w:r>
          </w:p>
        </w:tc>
      </w:tr>
      <w:tr>
        <w:tc>
          <w:tcPr>
            <w:tcW w:type="dxa" w:w="831"/>
            <w:vMerge/>
          </w:tcPr>
          <w:p/>
        </w:tc>
        <w:tc>
          <w:tcPr>
            <w:tcW w:type="dxa" w:w="1661"/>
          </w:tcPr>
          <w:p>
            <w:pPr>
              <w:pStyle w:val="null3"/>
            </w:pPr>
            <w:r>
              <w:rPr>
                <w:rFonts w:ascii="仿宋_GB2312" w:hAnsi="仿宋_GB2312" w:cs="仿宋_GB2312" w:eastAsia="仿宋_GB2312"/>
              </w:rPr>
              <w:t>技术部分-应急方案</w:t>
            </w:r>
          </w:p>
        </w:tc>
        <w:tc>
          <w:tcPr>
            <w:tcW w:type="dxa" w:w="2492"/>
          </w:tcPr>
          <w:p>
            <w:pPr>
              <w:pStyle w:val="null3"/>
            </w:pPr>
            <w:r>
              <w:rPr>
                <w:rFonts w:ascii="仿宋_GB2312" w:hAnsi="仿宋_GB2312" w:cs="仿宋_GB2312" w:eastAsia="仿宋_GB2312"/>
              </w:rPr>
              <w:t>一、评审内容 根据项目实际需求提供应急方案。内容包含：①实施过程突发的紧急状况（包括但不限于食品和消防安全、生产安全、设备设施故障、人员更替、断水断电断气、食材等资源紧缺等突发事件）有合理化建议；②处理方式、措施及人员配备；③天气、车辆故障等突发事件；④配送或使用过程出现问题的应急预案及补救措施。 二、评审标准： 1.完整性：方案全面，对评审内容中的各项要求有详细阐述； 2.可实施性：切合本项目实际情况，提出步骤清晰、合理的方案； 3.针对性：方案能够紧扣项目实际情况，内容科学合理。 上述4项评审内容全部满足评审标准及采购需12分，每有一个评审内容缺项扣3分，每一项评审内容中每出现一处缺陷扣1分，扣完为止。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11、技术部分-应急方案.docx</w:t>
            </w:r>
          </w:p>
        </w:tc>
      </w:tr>
      <w:tr>
        <w:tc>
          <w:tcPr>
            <w:tcW w:type="dxa" w:w="831"/>
            <w:vMerge/>
          </w:tcPr>
          <w:p/>
        </w:tc>
        <w:tc>
          <w:tcPr>
            <w:tcW w:type="dxa" w:w="1661"/>
          </w:tcPr>
          <w:p>
            <w:pPr>
              <w:pStyle w:val="null3"/>
            </w:pPr>
            <w:r>
              <w:rPr>
                <w:rFonts w:ascii="仿宋_GB2312" w:hAnsi="仿宋_GB2312" w:cs="仿宋_GB2312" w:eastAsia="仿宋_GB2312"/>
              </w:rPr>
              <w:t>技术部分-菜品搭配与安全</w:t>
            </w:r>
          </w:p>
        </w:tc>
        <w:tc>
          <w:tcPr>
            <w:tcW w:type="dxa" w:w="2492"/>
          </w:tcPr>
          <w:p>
            <w:pPr>
              <w:pStyle w:val="null3"/>
            </w:pPr>
            <w:r>
              <w:rPr>
                <w:rFonts w:ascii="仿宋_GB2312" w:hAnsi="仿宋_GB2312" w:cs="仿宋_GB2312" w:eastAsia="仿宋_GB2312"/>
              </w:rPr>
              <w:t>一、评审内容 针对本项目的菜品搭配与食品安全，主要内容包括：①就餐品种；②搭配方案合理；③营养均衡。 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上述3项评审内容全部满足评审标准及采购需求18分，每有一个评审内容缺项扣6分，每一项评审内容中每出现一处缺陷扣2分，扣完为止。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12、技术部分-菜品搭配与安全.docx</w:t>
            </w:r>
          </w:p>
        </w:tc>
      </w:tr>
      <w:tr>
        <w:tc>
          <w:tcPr>
            <w:tcW w:type="dxa" w:w="831"/>
            <w:vMerge/>
          </w:tcPr>
          <w:p/>
        </w:tc>
        <w:tc>
          <w:tcPr>
            <w:tcW w:type="dxa" w:w="1661"/>
          </w:tcPr>
          <w:p>
            <w:pPr>
              <w:pStyle w:val="null3"/>
            </w:pPr>
            <w:r>
              <w:rPr>
                <w:rFonts w:ascii="仿宋_GB2312" w:hAnsi="仿宋_GB2312" w:cs="仿宋_GB2312" w:eastAsia="仿宋_GB2312"/>
              </w:rPr>
              <w:t>技术部分-时效保障措施</w:t>
            </w:r>
          </w:p>
        </w:tc>
        <w:tc>
          <w:tcPr>
            <w:tcW w:type="dxa" w:w="2492"/>
          </w:tcPr>
          <w:p>
            <w:pPr>
              <w:pStyle w:val="null3"/>
            </w:pPr>
            <w:r>
              <w:rPr>
                <w:rFonts w:ascii="仿宋_GB2312" w:hAnsi="仿宋_GB2312" w:cs="仿宋_GB2312" w:eastAsia="仿宋_GB2312"/>
              </w:rPr>
              <w:t>一、评审内容 针对本项目的时效保障措施，内容包括：①总体进度安排；②制作时间计划；③响应的及时性。 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13、技术部分-时效保障措施.docx</w:t>
            </w:r>
          </w:p>
        </w:tc>
      </w:tr>
      <w:tr>
        <w:tc>
          <w:tcPr>
            <w:tcW w:type="dxa" w:w="831"/>
            <w:vMerge/>
          </w:tcPr>
          <w:p/>
        </w:tc>
        <w:tc>
          <w:tcPr>
            <w:tcW w:type="dxa" w:w="1661"/>
          </w:tcPr>
          <w:p>
            <w:pPr>
              <w:pStyle w:val="null3"/>
            </w:pPr>
            <w:r>
              <w:rPr>
                <w:rFonts w:ascii="仿宋_GB2312" w:hAnsi="仿宋_GB2312" w:cs="仿宋_GB2312" w:eastAsia="仿宋_GB2312"/>
              </w:rPr>
              <w:t>技术部分-合理化建议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每提出一条有利于本项目实施且具备可行性的合理化建议得0.5分。本项最高得2分。未提供或提出的建议与本项目无关或无可行性的得0分。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14、技术部分-合理化建议.docx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满足竞争性磋商文件要求且磋商下浮率最高的磋商报价为评标基准价， 其价格分为满分。其他供应商的价 格分统一按照下列公式计算：磋报价得分=（（1-下浮率）/有效报价 ) ×价格权重（10%）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详见附件：3、基本资格要求.docx</w:t>
      </w:r>
    </w:p>
    <w:p>
      <w:pPr>
        <w:pStyle w:val="null3"/>
        <w:ind w:firstLine="960"/>
      </w:pPr>
      <w:r>
        <w:rPr>
          <w:rFonts w:ascii="仿宋_GB2312" w:hAnsi="仿宋_GB2312" w:cs="仿宋_GB2312" w:eastAsia="仿宋_GB2312"/>
        </w:rPr>
        <w:t>详见附件：4、特殊资格要求.docx</w:t>
      </w:r>
    </w:p>
    <w:p>
      <w:pPr>
        <w:pStyle w:val="null3"/>
        <w:ind w:firstLine="960"/>
      </w:pPr>
      <w:r>
        <w:rPr>
          <w:rFonts w:ascii="仿宋_GB2312" w:hAnsi="仿宋_GB2312" w:cs="仿宋_GB2312" w:eastAsia="仿宋_GB2312"/>
        </w:rPr>
        <w:t>详见附件：5、技术指标偏离表.docx</w:t>
      </w:r>
    </w:p>
    <w:p>
      <w:pPr>
        <w:pStyle w:val="null3"/>
        <w:ind w:firstLine="960"/>
      </w:pPr>
      <w:r>
        <w:rPr>
          <w:rFonts w:ascii="仿宋_GB2312" w:hAnsi="仿宋_GB2312" w:cs="仿宋_GB2312" w:eastAsia="仿宋_GB2312"/>
        </w:rPr>
        <w:t>详见附件：6、商务响应表.docx</w:t>
      </w:r>
    </w:p>
    <w:p>
      <w:pPr>
        <w:pStyle w:val="null3"/>
        <w:ind w:firstLine="960"/>
      </w:pPr>
      <w:r>
        <w:rPr>
          <w:rFonts w:ascii="仿宋_GB2312" w:hAnsi="仿宋_GB2312" w:cs="仿宋_GB2312" w:eastAsia="仿宋_GB2312"/>
        </w:rPr>
        <w:t>详见附件：7、商务部分-人员配备.docx</w:t>
      </w:r>
    </w:p>
    <w:p>
      <w:pPr>
        <w:pStyle w:val="null3"/>
        <w:ind w:firstLine="960"/>
      </w:pPr>
      <w:r>
        <w:rPr>
          <w:rFonts w:ascii="仿宋_GB2312" w:hAnsi="仿宋_GB2312" w:cs="仿宋_GB2312" w:eastAsia="仿宋_GB2312"/>
        </w:rPr>
        <w:t>详见附件：8、商务部分-管理机构及制度.docx</w:t>
      </w:r>
    </w:p>
    <w:p>
      <w:pPr>
        <w:pStyle w:val="null3"/>
        <w:ind w:firstLine="960"/>
      </w:pPr>
      <w:r>
        <w:rPr>
          <w:rFonts w:ascii="仿宋_GB2312" w:hAnsi="仿宋_GB2312" w:cs="仿宋_GB2312" w:eastAsia="仿宋_GB2312"/>
        </w:rPr>
        <w:t>详见附件：9、商务部分-业绩.docx</w:t>
      </w:r>
    </w:p>
    <w:p>
      <w:pPr>
        <w:pStyle w:val="null3"/>
        <w:ind w:firstLine="960"/>
      </w:pPr>
      <w:r>
        <w:rPr>
          <w:rFonts w:ascii="仿宋_GB2312" w:hAnsi="仿宋_GB2312" w:cs="仿宋_GB2312" w:eastAsia="仿宋_GB2312"/>
        </w:rPr>
        <w:t>详见附件：10、技术部分-质量保证方案.docx</w:t>
      </w:r>
    </w:p>
    <w:p>
      <w:pPr>
        <w:pStyle w:val="null3"/>
        <w:ind w:firstLine="960"/>
      </w:pPr>
      <w:r>
        <w:rPr>
          <w:rFonts w:ascii="仿宋_GB2312" w:hAnsi="仿宋_GB2312" w:cs="仿宋_GB2312" w:eastAsia="仿宋_GB2312"/>
        </w:rPr>
        <w:t>详见附件：11、技术部分-应急方案.docx</w:t>
      </w:r>
    </w:p>
    <w:p>
      <w:pPr>
        <w:pStyle w:val="null3"/>
        <w:ind w:firstLine="960"/>
      </w:pPr>
      <w:r>
        <w:rPr>
          <w:rFonts w:ascii="仿宋_GB2312" w:hAnsi="仿宋_GB2312" w:cs="仿宋_GB2312" w:eastAsia="仿宋_GB2312"/>
        </w:rPr>
        <w:t>详见附件：12、技术部分-菜品搭配与安全.docx</w:t>
      </w:r>
    </w:p>
    <w:p>
      <w:pPr>
        <w:pStyle w:val="null3"/>
        <w:ind w:firstLine="960"/>
      </w:pPr>
      <w:r>
        <w:rPr>
          <w:rFonts w:ascii="仿宋_GB2312" w:hAnsi="仿宋_GB2312" w:cs="仿宋_GB2312" w:eastAsia="仿宋_GB2312"/>
        </w:rPr>
        <w:t>详见附件：13、技术部分-时效保障措施.docx</w:t>
      </w:r>
    </w:p>
    <w:p>
      <w:pPr>
        <w:pStyle w:val="null3"/>
        <w:ind w:firstLine="960"/>
      </w:pPr>
      <w:r>
        <w:rPr>
          <w:rFonts w:ascii="仿宋_GB2312" w:hAnsi="仿宋_GB2312" w:cs="仿宋_GB2312" w:eastAsia="仿宋_GB2312"/>
        </w:rPr>
        <w:t>详见附件：14、技术部分-合理化建议.docx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