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版本号：HCCG-2025-597-220260121001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消防技术机构消防安全服务提升我区消防安全防控能力(二次)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HCCG-2025-597-2</w:t>
      </w:r>
      <w:r>
        <w:br/>
      </w:r>
      <w:r>
        <w:br/>
      </w:r>
      <w:r>
        <w:br/>
      </w:r>
    </w:p>
    <w:p>
      <w:pPr>
        <w:pStyle w:val="null3"/>
        <w:jc w:val="center"/>
        <w:outlineLvl w:val="2"/>
      </w:pPr>
      <w:r>
        <w:rPr>
          <w:rFonts w:ascii="仿宋_GB2312" w:hAnsi="仿宋_GB2312" w:cs="仿宋_GB2312" w:eastAsia="仿宋_GB2312"/>
          <w:sz w:val="28"/>
          <w:b/>
        </w:rPr>
        <w:t>渭南市临渭区应急管理局</w:t>
      </w:r>
    </w:p>
    <w:p>
      <w:pPr>
        <w:pStyle w:val="null3"/>
        <w:jc w:val="center"/>
        <w:outlineLvl w:val="2"/>
      </w:pPr>
      <w:r>
        <w:rPr>
          <w:rFonts w:ascii="仿宋_GB2312" w:hAnsi="仿宋_GB2312" w:cs="仿宋_GB2312" w:eastAsia="仿宋_GB2312"/>
          <w:sz w:val="28"/>
          <w:b/>
        </w:rPr>
        <w:t>华春建设工程项目管理有限责任公司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华春建设工程项目管理有限责任公司</w:t>
      </w:r>
      <w:r>
        <w:rPr>
          <w:rFonts w:ascii="仿宋_GB2312" w:hAnsi="仿宋_GB2312" w:cs="仿宋_GB2312" w:eastAsia="仿宋_GB2312"/>
        </w:rPr>
        <w:t>（以下简称“代理机构”）受</w:t>
      </w:r>
      <w:r>
        <w:rPr>
          <w:rFonts w:ascii="仿宋_GB2312" w:hAnsi="仿宋_GB2312" w:cs="仿宋_GB2312" w:eastAsia="仿宋_GB2312"/>
        </w:rPr>
        <w:t>渭南市临渭区应急管理局</w:t>
      </w:r>
      <w:r>
        <w:rPr>
          <w:rFonts w:ascii="仿宋_GB2312" w:hAnsi="仿宋_GB2312" w:cs="仿宋_GB2312" w:eastAsia="仿宋_GB2312"/>
        </w:rPr>
        <w:t>委托，拟对</w:t>
      </w:r>
      <w:r>
        <w:rPr>
          <w:rFonts w:ascii="仿宋_GB2312" w:hAnsi="仿宋_GB2312" w:cs="仿宋_GB2312" w:eastAsia="仿宋_GB2312"/>
        </w:rPr>
        <w:t>消防技术机构消防安全服务提升我区消防安全防控能力(二次)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HCCG-2025-597-2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消防技术机构消防安全服务提升我区消防安全防控能力(二次)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消防技术机构消防安全服务提升我区消防安全防控能力项目；为整体提高临渭区行业部门及各街镇人员的消防安全方面综合能力，构建“理论培训+实操演练+技术支持”三维支撑体系，形成“检查-培训-执法”全流程闭环管理机制。主要包括隐患治理效能：通过全员技能培训提升发现火灾隐患的能力及治理能力，实现年度火灾隐患总数较2024年基准值下降20%；培训覆盖水平：通过差异化培训机制，确保医疗机构、教育机构、商业综合体等重点单位年度参训率95%，小微企业覆盖率达80%；执法规范程度：基于消防规范体系，推动执法程序合规率提升至95%以上，行政复议发生率控制在3%以内；具体内容详见磋商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采购包1（消防技术机构消防安全服务提升我区消防安全防控能力）：属于专门面向中小企业采购。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并出具合法有效的营业执照或事业单位法人证书等国家规定的相关证明，自然人参与的提供其身份证明书：具有独立承担民事责任能力的法人、其他组织或自然人，并出具合法有效的营业执照或事业单位法人证书等国家规定的相关证明，自然人参与的提供其身份证明书：具有独立承担民事责任能力的法人、其他组织或自然人，并出具合法有效的营业执照或事业单位法人证书等国家规定的相关证明，自然人参与的提供其身份证明书</w:t>
      </w:r>
    </w:p>
    <w:p>
      <w:pPr>
        <w:pStyle w:val="null3"/>
      </w:pPr>
      <w:r>
        <w:rPr>
          <w:rFonts w:ascii="仿宋_GB2312" w:hAnsi="仿宋_GB2312" w:cs="仿宋_GB2312" w:eastAsia="仿宋_GB2312"/>
        </w:rPr>
        <w:t>2、法定代表人授权书：法定代表人授权书（附法定代表人、被授权人身份证复印件）及被授权人身份证原件（法定代表人直接参加招标，须提供法定代表人身份证明及身份证原件）；非法人单位参照执行：法定代表人授权书（附法定代表人、被授权人身份证复印件）及被授权人身份证原件（法定代表人直接参加招标，须提供法定代表人身份证明及身份证原件）；非法人单位参照执行</w:t>
      </w:r>
    </w:p>
    <w:p>
      <w:pPr>
        <w:pStyle w:val="null3"/>
      </w:pPr>
      <w:r>
        <w:rPr>
          <w:rFonts w:ascii="仿宋_GB2312" w:hAnsi="仿宋_GB2312" w:cs="仿宋_GB2312" w:eastAsia="仿宋_GB2312"/>
        </w:rPr>
        <w:t>3、财务状况报告：提供具有财务审计资质单位出具的2023年度或2024年度的财务报告（成立时间至投标时间不足一年的可提供成立后任意时段的资产负债表）或投标前六个月内其基本账户银行出具的资信证明（附开户许可证）或政府采购信用担保机构出具的投标担保函</w:t>
      </w:r>
    </w:p>
    <w:p>
      <w:pPr>
        <w:pStyle w:val="null3"/>
      </w:pPr>
      <w:r>
        <w:rPr>
          <w:rFonts w:ascii="仿宋_GB2312" w:hAnsi="仿宋_GB2312" w:cs="仿宋_GB2312" w:eastAsia="仿宋_GB2312"/>
        </w:rPr>
        <w:t>4、税收缴纳证明：提供自2024年12月1日至今已缴纳的至少一个月的纳税证明或完税证明，纳税证明或完税证明上应有代收机构或税务机关的公章或业务专用章，依法免税的服务商应提供相关文件证明</w:t>
      </w:r>
    </w:p>
    <w:p>
      <w:pPr>
        <w:pStyle w:val="null3"/>
      </w:pPr>
      <w:r>
        <w:rPr>
          <w:rFonts w:ascii="仿宋_GB2312" w:hAnsi="仿宋_GB2312" w:cs="仿宋_GB2312" w:eastAsia="仿宋_GB2312"/>
        </w:rPr>
        <w:t>5、社会保障资金缴纳证明：提供自2024年12月1日至今已缴存的至少一个月的社会保障资金缴存单据或社保机构开具的社会保险参保缴费情况证明；依法不需要缴纳社会保障资金的应提供相关文件证明</w:t>
      </w:r>
    </w:p>
    <w:p>
      <w:pPr>
        <w:pStyle w:val="null3"/>
      </w:pPr>
      <w:r>
        <w:rPr>
          <w:rFonts w:ascii="仿宋_GB2312" w:hAnsi="仿宋_GB2312" w:cs="仿宋_GB2312" w:eastAsia="仿宋_GB2312"/>
        </w:rPr>
        <w:t>6、前三年内无重大违法记录：参加政府采购活动前3年内，在经营活动中没有重大违法记录</w:t>
      </w:r>
    </w:p>
    <w:p>
      <w:pPr>
        <w:pStyle w:val="null3"/>
      </w:pPr>
      <w:r>
        <w:rPr>
          <w:rFonts w:ascii="仿宋_GB2312" w:hAnsi="仿宋_GB2312" w:cs="仿宋_GB2312" w:eastAsia="仿宋_GB2312"/>
        </w:rPr>
        <w:t>7、书面声明：提供具有履行本合同所必需的设备和专业技术能力的声明</w:t>
      </w:r>
    </w:p>
    <w:p>
      <w:pPr>
        <w:pStyle w:val="null3"/>
      </w:pPr>
      <w:r>
        <w:rPr>
          <w:rFonts w:ascii="仿宋_GB2312" w:hAnsi="仿宋_GB2312" w:cs="仿宋_GB2312" w:eastAsia="仿宋_GB2312"/>
        </w:rPr>
        <w:t>8、信誉：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现场由采购人或采购代理机构在投标文件资格审查阶段通过互联网或者相关系统查询，查询结果以现场现场查询为准）</w:t>
      </w:r>
    </w:p>
    <w:p>
      <w:pPr>
        <w:pStyle w:val="null3"/>
      </w:pPr>
      <w:r>
        <w:rPr>
          <w:rFonts w:ascii="仿宋_GB2312" w:hAnsi="仿宋_GB2312" w:cs="仿宋_GB2312" w:eastAsia="仿宋_GB2312"/>
        </w:rPr>
        <w:t>9、控股管理关系：本项目不接受联合体投标，单位负责人为同一人或者存在直接控股、管理关系的不同供应商，不得参加同一合同项下的政府采购活动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渭南市临渭区应急管理局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渭南市东风大街83号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09132023323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华春建设工程项目管理有限责任公司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西安市南二环西段58号成长大厦8楼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户胜伟、赵根女、徐欣、冯建正</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029-89115858-8010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渭南市临渭区政府采购管理股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吕洁</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0913-2130873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依据国家计委2002年颁发的《招标代理服务收费管理暂行办法》(计价格〔2002〕1980号)、国家发展改革委员会办公厅颁发的《关于招标代理服务费收费有关问题的通知》（发改办价格〔2003〕857号）及《调整后的招标代理服务收费标准》(发改价格〔2011〕534号)的文件标准收取，由成交供应商在领取成交通知书前一次性支付。</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渭南市临渭区应急管理局</w:t>
      </w:r>
      <w:r>
        <w:rPr>
          <w:rFonts w:ascii="仿宋_GB2312" w:hAnsi="仿宋_GB2312" w:cs="仿宋_GB2312" w:eastAsia="仿宋_GB2312"/>
        </w:rPr>
        <w:t>和</w:t>
      </w:r>
      <w:r>
        <w:rPr>
          <w:rFonts w:ascii="仿宋_GB2312" w:hAnsi="仿宋_GB2312" w:cs="仿宋_GB2312" w:eastAsia="仿宋_GB2312"/>
        </w:rPr>
        <w:t>华春建设工程项目管理有限责任公司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渭南市临渭区应急管理局</w:t>
      </w:r>
      <w:r>
        <w:rPr>
          <w:rFonts w:ascii="仿宋_GB2312" w:hAnsi="仿宋_GB2312" w:cs="仿宋_GB2312" w:eastAsia="仿宋_GB2312"/>
        </w:rPr>
        <w:t>负责解释。除上述磋商文件内容，其他内容由</w:t>
      </w:r>
      <w:r>
        <w:rPr>
          <w:rFonts w:ascii="仿宋_GB2312" w:hAnsi="仿宋_GB2312" w:cs="仿宋_GB2312" w:eastAsia="仿宋_GB2312"/>
        </w:rPr>
        <w:t>华春建设工程项目管理有限责任公司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渭南市临渭区应急管理局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华春建设工程项目管理有限责任公司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符合国家相关质量标准或行业标准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华春建设工程项目管理有限责任公司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华春建设工程项目管理有限责任公司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华春建设工程项目管理有限责任公司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联系人：户胜伟、赵根女、徐欣、冯建正</w:t>
      </w:r>
    </w:p>
    <w:p>
      <w:pPr>
        <w:pStyle w:val="null3"/>
      </w:pPr>
      <w:r>
        <w:rPr>
          <w:rFonts w:ascii="仿宋_GB2312" w:hAnsi="仿宋_GB2312" w:cs="仿宋_GB2312" w:eastAsia="仿宋_GB2312"/>
        </w:rPr>
        <w:t>联系电话：029-89115858-8010</w:t>
      </w:r>
    </w:p>
    <w:p>
      <w:pPr>
        <w:pStyle w:val="null3"/>
      </w:pPr>
      <w:r>
        <w:rPr>
          <w:rFonts w:ascii="仿宋_GB2312" w:hAnsi="仿宋_GB2312" w:cs="仿宋_GB2312" w:eastAsia="仿宋_GB2312"/>
        </w:rPr>
        <w:t>地址：西安市南二环西段58号成长大厦8楼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消防技术机构消防安全服务提升我区消防安全防控能力项目；为整体提高临渭区行业部门及各街镇人员的消防安全方面综合能力，构建“理论培训+实操演练+技术支持”三维支撑体系，形成“检查-培训-执法”全流程闭环管理机制。主要包括隐患治理效能：通过全员技能培训提升发现火灾隐患的能力及治理能力，实现年度火灾隐患总数较2024年基准值下降20%；培训覆盖水平：通过差异化培训机制，确保医疗机构、教育机构、商业综合体等重点单位年度参训率95%，小微企业覆盖率达80%；执法规范程度：基于消防规范体系，推动执法程序合规率提升至95%以上，行政复议发生率控制在3%以内；具体内容详见磋商文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消防技术机构消防安全服务提升我区消防安全防控能力</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标的名称：消防技术机构消防安全服务提升我区消防安全防控能力</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b/>
              </w:rPr>
              <w:t>3.2.2.</w:t>
            </w:r>
            <w:r>
              <w:rPr>
                <w:rFonts w:ascii="仿宋_GB2312" w:hAnsi="仿宋_GB2312" w:cs="仿宋_GB2312" w:eastAsia="仿宋_GB2312"/>
                <w:sz w:val="24"/>
                <w:b/>
              </w:rPr>
              <w:t>实施路径</w:t>
            </w:r>
          </w:p>
          <w:p>
            <w:pPr>
              <w:pStyle w:val="null3"/>
              <w:ind w:firstLine="482"/>
              <w:jc w:val="both"/>
            </w:pPr>
            <w:r>
              <w:rPr>
                <w:rFonts w:ascii="仿宋_GB2312" w:hAnsi="仿宋_GB2312" w:cs="仿宋_GB2312" w:eastAsia="仿宋_GB2312"/>
                <w:sz w:val="24"/>
                <w:b/>
              </w:rPr>
              <w:t>（一）防火检查能力强化工程</w:t>
            </w:r>
          </w:p>
          <w:p>
            <w:pPr>
              <w:pStyle w:val="null3"/>
              <w:ind w:firstLine="482"/>
              <w:jc w:val="both"/>
            </w:pPr>
            <w:r>
              <w:rPr>
                <w:rFonts w:ascii="仿宋_GB2312" w:hAnsi="仿宋_GB2312" w:cs="仿宋_GB2312" w:eastAsia="仿宋_GB2312"/>
                <w:sz w:val="24"/>
                <w:b/>
              </w:rPr>
              <w:t>专业化培训体系：</w:t>
            </w:r>
            <w:r>
              <w:rPr>
                <w:rFonts w:ascii="仿宋_GB2312" w:hAnsi="仿宋_GB2312" w:cs="仿宋_GB2312" w:eastAsia="仿宋_GB2312"/>
                <w:sz w:val="24"/>
              </w:rPr>
              <w:t>为有效提升临渭区消防安全管理水平，组建省级技术专家支撑团队，具有实战经验的消防指挥员、主攻建筑防火设计与设施检测注册消防工程师、技术顾问、建筑专家等。</w:t>
            </w:r>
          </w:p>
          <w:p>
            <w:pPr>
              <w:pStyle w:val="null3"/>
              <w:ind w:firstLine="482"/>
              <w:jc w:val="left"/>
            </w:pPr>
            <w:r>
              <w:rPr>
                <w:rFonts w:ascii="仿宋_GB2312" w:hAnsi="仿宋_GB2312" w:cs="仿宋_GB2312" w:eastAsia="仿宋_GB2312"/>
                <w:sz w:val="24"/>
                <w:b/>
              </w:rPr>
              <w:t>现场培训及远程教学制度：</w:t>
            </w:r>
            <w:r>
              <w:rPr>
                <w:rFonts w:ascii="仿宋_GB2312" w:hAnsi="仿宋_GB2312" w:cs="仿宋_GB2312" w:eastAsia="仿宋_GB2312"/>
                <w:sz w:val="24"/>
              </w:rPr>
              <w:t>综合考虑临渭区消防安全工作实际情况，采用</w:t>
            </w:r>
            <w:r>
              <w:rPr>
                <w:rFonts w:ascii="仿宋_GB2312" w:hAnsi="仿宋_GB2312" w:cs="仿宋_GB2312" w:eastAsia="仿宋_GB2312"/>
                <w:sz w:val="24"/>
              </w:rPr>
              <w:t>“现场集中教学+现场理论实操培训+远程教学”三合一模式，重点涵盖建筑防火、建筑消防系统检查、电气火灾隐患识别、消防安全管理、消防应急疏散演练、火灾调查等6大核心模块。由专家团队系统化对各行业部门、街镇主要领导及分管领导、消防安全管理人员进行消防规范系统性学习培训，涵盖建筑涉及的各类消防设施及对应不同年代版本规范的使用，推进相关人员全面掌握消防规范要求。</w:t>
            </w:r>
          </w:p>
          <w:p>
            <w:pPr>
              <w:pStyle w:val="null3"/>
              <w:ind w:firstLine="482"/>
              <w:jc w:val="left"/>
            </w:pPr>
            <w:r>
              <w:rPr>
                <w:rFonts w:ascii="仿宋_GB2312" w:hAnsi="仿宋_GB2312" w:cs="仿宋_GB2312" w:eastAsia="仿宋_GB2312"/>
                <w:sz w:val="24"/>
                <w:b/>
              </w:rPr>
              <w:t>案例教学资源库：</w:t>
            </w:r>
            <w:r>
              <w:rPr>
                <w:rFonts w:ascii="仿宋_GB2312" w:hAnsi="仿宋_GB2312" w:cs="仿宋_GB2312" w:eastAsia="仿宋_GB2312"/>
                <w:sz w:val="24"/>
              </w:rPr>
              <w:t>整合</w:t>
            </w:r>
            <w:r>
              <w:rPr>
                <w:rFonts w:ascii="仿宋_GB2312" w:hAnsi="仿宋_GB2312" w:cs="仿宋_GB2312" w:eastAsia="仿宋_GB2312"/>
                <w:sz w:val="24"/>
              </w:rPr>
              <w:t>2019-2024年30起典型火灾案例，形成包含现场勘验影像、责任认定文书、整改验收材料的立体化教学体系。</w:t>
            </w:r>
          </w:p>
          <w:p>
            <w:pPr>
              <w:pStyle w:val="null3"/>
              <w:ind w:firstLine="482"/>
              <w:jc w:val="left"/>
            </w:pPr>
            <w:r>
              <w:rPr>
                <w:rFonts w:ascii="仿宋_GB2312" w:hAnsi="仿宋_GB2312" w:cs="仿宋_GB2312" w:eastAsia="仿宋_GB2312"/>
                <w:sz w:val="24"/>
                <w:b/>
              </w:rPr>
              <w:t>课程设计：</w:t>
            </w:r>
            <w:r>
              <w:rPr>
                <w:rFonts w:ascii="仿宋_GB2312" w:hAnsi="仿宋_GB2312" w:cs="仿宋_GB2312" w:eastAsia="仿宋_GB2312"/>
                <w:sz w:val="24"/>
              </w:rPr>
              <w:t>全年集中教学不少于</w:t>
            </w:r>
            <w:r>
              <w:rPr>
                <w:rFonts w:ascii="仿宋_GB2312" w:hAnsi="仿宋_GB2312" w:cs="仿宋_GB2312" w:eastAsia="仿宋_GB2312"/>
                <w:sz w:val="24"/>
              </w:rPr>
              <w:t>3天，行业部门及街镇人员理论实操培训不少于40天，远程教学不少于35课时。</w:t>
            </w:r>
          </w:p>
          <w:p>
            <w:pPr>
              <w:pStyle w:val="null3"/>
              <w:ind w:firstLine="482"/>
              <w:jc w:val="both"/>
            </w:pPr>
            <w:r>
              <w:rPr>
                <w:rFonts w:ascii="仿宋_GB2312" w:hAnsi="仿宋_GB2312" w:cs="仿宋_GB2312" w:eastAsia="仿宋_GB2312"/>
                <w:sz w:val="24"/>
                <w:b/>
              </w:rPr>
              <w:t>（二）服务对象培训优化方案</w:t>
            </w:r>
          </w:p>
          <w:p>
            <w:pPr>
              <w:pStyle w:val="null3"/>
              <w:ind w:firstLine="482"/>
              <w:jc w:val="left"/>
            </w:pPr>
            <w:r>
              <w:rPr>
                <w:rFonts w:ascii="仿宋_GB2312" w:hAnsi="仿宋_GB2312" w:cs="仿宋_GB2312" w:eastAsia="仿宋_GB2312"/>
                <w:sz w:val="24"/>
                <w:b/>
              </w:rPr>
              <w:t>差异化培训机制：重点单位</w:t>
            </w:r>
            <w:r>
              <w:rPr>
                <w:rFonts w:ascii="仿宋_GB2312" w:hAnsi="仿宋_GB2312" w:cs="仿宋_GB2312" w:eastAsia="仿宋_GB2312"/>
                <w:sz w:val="24"/>
              </w:rPr>
              <w:t>执行</w:t>
            </w:r>
            <w:r>
              <w:rPr>
                <w:rFonts w:ascii="仿宋_GB2312" w:hAnsi="仿宋_GB2312" w:cs="仿宋_GB2312" w:eastAsia="仿宋_GB2312"/>
                <w:sz w:val="24"/>
              </w:rPr>
              <w:t>“1次年度理论测试+3次季度实战演练+1次多部门联合演习”的“1+3+1”培训方案，强化消防控制设备联动测试能力。</w:t>
            </w:r>
          </w:p>
          <w:p>
            <w:pPr>
              <w:pStyle w:val="null3"/>
              <w:ind w:firstLine="482"/>
              <w:jc w:val="left"/>
            </w:pPr>
            <w:r>
              <w:rPr>
                <w:rFonts w:ascii="仿宋_GB2312" w:hAnsi="仿宋_GB2312" w:cs="仿宋_GB2312" w:eastAsia="仿宋_GB2312"/>
                <w:sz w:val="24"/>
                <w:b/>
              </w:rPr>
              <w:t>小微企业：</w:t>
            </w:r>
            <w:r>
              <w:rPr>
                <w:rFonts w:ascii="仿宋_GB2312" w:hAnsi="仿宋_GB2312" w:cs="仿宋_GB2312" w:eastAsia="仿宋_GB2312"/>
                <w:sz w:val="24"/>
              </w:rPr>
              <w:t>组织</w:t>
            </w:r>
            <w:r>
              <w:rPr>
                <w:rFonts w:ascii="仿宋_GB2312" w:hAnsi="仿宋_GB2312" w:cs="仿宋_GB2312" w:eastAsia="仿宋_GB2312"/>
                <w:sz w:val="24"/>
              </w:rPr>
              <w:t>“消防安全体验日”活动，设置烟雾逃生模拟舱、灭火器材实操区等沉浸式培训场景。</w:t>
            </w:r>
          </w:p>
          <w:p>
            <w:pPr>
              <w:pStyle w:val="null3"/>
              <w:ind w:firstLine="482"/>
              <w:jc w:val="left"/>
            </w:pPr>
            <w:r>
              <w:rPr>
                <w:rFonts w:ascii="仿宋_GB2312" w:hAnsi="仿宋_GB2312" w:cs="仿宋_GB2312" w:eastAsia="仿宋_GB2312"/>
                <w:sz w:val="24"/>
                <w:b/>
              </w:rPr>
              <w:t>行业定制课程：商业建筑</w:t>
            </w:r>
            <w:r>
              <w:rPr>
                <w:rFonts w:ascii="仿宋_GB2312" w:hAnsi="仿宋_GB2312" w:cs="仿宋_GB2312" w:eastAsia="仿宋_GB2312"/>
                <w:sz w:val="24"/>
              </w:rPr>
              <w:t>新增防火分区联动测试、餐饮企业排烟系统清洗标准实操演示；</w:t>
            </w:r>
            <w:r>
              <w:rPr>
                <w:rFonts w:ascii="仿宋_GB2312" w:hAnsi="仿宋_GB2312" w:cs="仿宋_GB2312" w:eastAsia="仿宋_GB2312"/>
                <w:sz w:val="24"/>
                <w:b/>
              </w:rPr>
              <w:t>危化企业</w:t>
            </w:r>
            <w:r>
              <w:rPr>
                <w:rFonts w:ascii="仿宋_GB2312" w:hAnsi="仿宋_GB2312" w:cs="仿宋_GB2312" w:eastAsia="仿宋_GB2312"/>
                <w:sz w:val="24"/>
              </w:rPr>
              <w:t>专项培训化学品泄漏处置</w:t>
            </w:r>
            <w:r>
              <w:rPr>
                <w:rFonts w:ascii="仿宋_GB2312" w:hAnsi="仿宋_GB2312" w:cs="仿宋_GB2312" w:eastAsia="仿宋_GB2312"/>
                <w:sz w:val="24"/>
              </w:rPr>
              <w:t>“隔离-报告-疏散-堵漏-洗消-处置-复盘”七步流程。</w:t>
            </w:r>
          </w:p>
          <w:p>
            <w:pPr>
              <w:pStyle w:val="null3"/>
              <w:ind w:firstLine="482"/>
              <w:jc w:val="left"/>
            </w:pPr>
            <w:r>
              <w:rPr>
                <w:rFonts w:ascii="仿宋_GB2312" w:hAnsi="仿宋_GB2312" w:cs="仿宋_GB2312" w:eastAsia="仿宋_GB2312"/>
                <w:sz w:val="24"/>
                <w:b/>
              </w:rPr>
              <w:t>课程设计：</w:t>
            </w:r>
            <w:r>
              <w:rPr>
                <w:rFonts w:ascii="仿宋_GB2312" w:hAnsi="仿宋_GB2312" w:cs="仿宋_GB2312" w:eastAsia="仿宋_GB2312"/>
                <w:sz w:val="24"/>
              </w:rPr>
              <w:t>辖区企业不少于</w:t>
            </w:r>
            <w:r>
              <w:rPr>
                <w:rFonts w:ascii="仿宋_GB2312" w:hAnsi="仿宋_GB2312" w:cs="仿宋_GB2312" w:eastAsia="仿宋_GB2312"/>
                <w:sz w:val="24"/>
              </w:rPr>
              <w:t>40课时，应急疏散演练6场。</w:t>
            </w:r>
          </w:p>
          <w:p>
            <w:pPr>
              <w:pStyle w:val="null3"/>
              <w:jc w:val="left"/>
            </w:pPr>
            <w:r>
              <w:rPr>
                <w:rFonts w:ascii="仿宋_GB2312" w:hAnsi="仿宋_GB2312" w:cs="仿宋_GB2312" w:eastAsia="仿宋_GB2312"/>
                <w:sz w:val="24"/>
                <w:b/>
              </w:rPr>
              <w:t xml:space="preserve">    （三）隐患整改能力建设</w:t>
            </w:r>
          </w:p>
          <w:p>
            <w:pPr>
              <w:pStyle w:val="null3"/>
              <w:ind w:firstLine="482"/>
              <w:jc w:val="left"/>
            </w:pPr>
            <w:r>
              <w:rPr>
                <w:rFonts w:ascii="仿宋_GB2312" w:hAnsi="仿宋_GB2312" w:cs="仿宋_GB2312" w:eastAsia="仿宋_GB2312"/>
                <w:sz w:val="24"/>
                <w:b/>
              </w:rPr>
              <w:t>隐患整改能力提升：</w:t>
            </w:r>
            <w:r>
              <w:rPr>
                <w:rFonts w:ascii="仿宋_GB2312" w:hAnsi="仿宋_GB2312" w:cs="仿宋_GB2312" w:eastAsia="仿宋_GB2312"/>
                <w:sz w:val="24"/>
              </w:rPr>
              <w:t>消防专家对行业部门、街镇防火检查进行</w:t>
            </w:r>
            <w:r>
              <w:rPr>
                <w:rFonts w:ascii="仿宋_GB2312" w:hAnsi="仿宋_GB2312" w:cs="仿宋_GB2312" w:eastAsia="仿宋_GB2312"/>
                <w:sz w:val="24"/>
              </w:rPr>
              <w:t>1对1帮扶，由消防专家针对管辖区域内各类型建筑进行综合性检查，明确检查重点区域，实地排查消防设施性能，现场指导防火检查。建立专业支持团队（含2名注册消防工程师，可外聘），提供全天候法规咨询。</w:t>
            </w:r>
          </w:p>
          <w:p>
            <w:pPr>
              <w:pStyle w:val="null3"/>
              <w:ind w:firstLine="482"/>
              <w:jc w:val="left"/>
            </w:pPr>
            <w:r>
              <w:rPr>
                <w:rFonts w:ascii="仿宋_GB2312" w:hAnsi="仿宋_GB2312" w:cs="仿宋_GB2312" w:eastAsia="仿宋_GB2312"/>
                <w:sz w:val="24"/>
                <w:b/>
              </w:rPr>
              <w:t>专家团队执法技术支撑：</w:t>
            </w:r>
            <w:r>
              <w:rPr>
                <w:rFonts w:ascii="仿宋_GB2312" w:hAnsi="仿宋_GB2312" w:cs="仿宋_GB2312" w:eastAsia="仿宋_GB2312"/>
                <w:sz w:val="24"/>
              </w:rPr>
              <w:t>对于执法检查过程中难以准确判断的问题以及长期历史遗留的消防问题，结合实际情况与历史发展，由专家团队综合评审，提出合理化解决建议。</w:t>
            </w:r>
          </w:p>
          <w:p>
            <w:pPr>
              <w:pStyle w:val="null3"/>
              <w:ind w:firstLine="482"/>
              <w:jc w:val="both"/>
            </w:pPr>
            <w:r>
              <w:rPr>
                <w:rFonts w:ascii="仿宋_GB2312" w:hAnsi="仿宋_GB2312" w:cs="仿宋_GB2312" w:eastAsia="仿宋_GB2312"/>
                <w:sz w:val="24"/>
                <w:b/>
              </w:rPr>
              <w:t>（四）临渭区区域消防安全评估</w:t>
            </w:r>
          </w:p>
          <w:p>
            <w:pPr>
              <w:pStyle w:val="null3"/>
              <w:ind w:firstLine="480"/>
              <w:jc w:val="both"/>
            </w:pPr>
            <w:r>
              <w:rPr>
                <w:rFonts w:ascii="仿宋_GB2312" w:hAnsi="仿宋_GB2312" w:cs="仿宋_GB2312" w:eastAsia="仿宋_GB2312"/>
                <w:sz w:val="24"/>
              </w:rPr>
              <w:t>对临渭区城区建成区开展区域性消防安全评估，可以比较准确对临渭区内建筑物、消防设施、管理制度及火灾风险进行系统性诊断，识别火灾隐患、优化资源配置、提升区域整体抗灾能力，并提出整改方案</w:t>
            </w:r>
            <w:r>
              <w:rPr>
                <w:rFonts w:ascii="仿宋_GB2312" w:hAnsi="仿宋_GB2312" w:cs="仿宋_GB2312" w:eastAsia="仿宋_GB2312"/>
                <w:sz w:val="24"/>
              </w:rPr>
              <w:t>。</w:t>
            </w:r>
          </w:p>
          <w:p>
            <w:pPr>
              <w:pStyle w:val="null3"/>
              <w:jc w:val="left"/>
              <w:outlineLvl w:val="2"/>
            </w:pPr>
            <w:r>
              <w:rPr>
                <w:rFonts w:ascii="仿宋_GB2312" w:hAnsi="仿宋_GB2312" w:cs="仿宋_GB2312" w:eastAsia="仿宋_GB2312"/>
                <w:sz w:val="24"/>
                <w:b/>
              </w:rPr>
              <w:t>建议以区域基础条件、管理机制及风险识别的评估内容体系，通过现场检查、问卷调查等方法，按信息采集</w:t>
            </w:r>
            <w:r>
              <w:rPr>
                <w:rFonts w:ascii="仿宋_GB2312" w:hAnsi="仿宋_GB2312" w:cs="仿宋_GB2312" w:eastAsia="仿宋_GB2312"/>
                <w:sz w:val="24"/>
                <w:b/>
              </w:rPr>
              <w:t>→风险识别→建立评估体系→风险分析→确定结论→制定控制措施的流程对临渭区进行区域性消防安全评估。</w:t>
            </w:r>
          </w:p>
          <w:p>
            <w:pPr>
              <w:pStyle w:val="null3"/>
              <w:jc w:val="left"/>
              <w:outlineLvl w:val="2"/>
            </w:pPr>
            <w:r>
              <w:rPr>
                <w:rFonts w:ascii="仿宋_GB2312" w:hAnsi="仿宋_GB2312" w:cs="仿宋_GB2312" w:eastAsia="仿宋_GB2312"/>
                <w:sz w:val="24"/>
                <w:b/>
              </w:rPr>
              <w:t>3.2.2.1.</w:t>
            </w:r>
            <w:r>
              <w:rPr>
                <w:rFonts w:ascii="仿宋_GB2312" w:hAnsi="仿宋_GB2312" w:cs="仿宋_GB2312" w:eastAsia="仿宋_GB2312"/>
                <w:sz w:val="24"/>
                <w:b/>
              </w:rPr>
              <w:t>保障机制</w:t>
            </w:r>
          </w:p>
          <w:p>
            <w:pPr>
              <w:pStyle w:val="null3"/>
              <w:ind w:firstLine="482"/>
              <w:jc w:val="left"/>
            </w:pPr>
            <w:r>
              <w:rPr>
                <w:rFonts w:ascii="仿宋_GB2312" w:hAnsi="仿宋_GB2312" w:cs="仿宋_GB2312" w:eastAsia="仿宋_GB2312"/>
                <w:sz w:val="24"/>
                <w:b/>
              </w:rPr>
              <w:t>实施阶段：</w:t>
            </w:r>
            <w:r>
              <w:rPr>
                <w:rFonts w:ascii="仿宋_GB2312" w:hAnsi="仿宋_GB2312" w:cs="仿宋_GB2312" w:eastAsia="仿宋_GB2312"/>
                <w:sz w:val="24"/>
              </w:rPr>
              <w:t>根据实际需求于</w:t>
            </w:r>
            <w:r>
              <w:rPr>
                <w:rFonts w:ascii="仿宋_GB2312" w:hAnsi="仿宋_GB2312" w:cs="仿宋_GB2312" w:eastAsia="仿宋_GB2312"/>
                <w:sz w:val="24"/>
              </w:rPr>
              <w:t>1个月内在临渭区开展试点并完善培训计划，中期成效评估后实施全域推广。</w:t>
            </w:r>
          </w:p>
          <w:p>
            <w:pPr>
              <w:pStyle w:val="null3"/>
              <w:ind w:firstLine="482"/>
              <w:jc w:val="left"/>
            </w:pPr>
            <w:r>
              <w:rPr>
                <w:rFonts w:ascii="仿宋_GB2312" w:hAnsi="仿宋_GB2312" w:cs="仿宋_GB2312" w:eastAsia="仿宋_GB2312"/>
                <w:sz w:val="24"/>
                <w:b/>
              </w:rPr>
              <w:t>质量管控：</w:t>
            </w:r>
            <w:r>
              <w:rPr>
                <w:rFonts w:ascii="仿宋_GB2312" w:hAnsi="仿宋_GB2312" w:cs="仿宋_GB2312" w:eastAsia="仿宋_GB2312"/>
                <w:sz w:val="24"/>
              </w:rPr>
              <w:t>建立</w:t>
            </w:r>
            <w:r>
              <w:rPr>
                <w:rFonts w:ascii="仿宋_GB2312" w:hAnsi="仿宋_GB2312" w:cs="仿宋_GB2312" w:eastAsia="仿宋_GB2312"/>
                <w:sz w:val="24"/>
              </w:rPr>
              <w:t>“技能培训+绩效考核”双维度评估体系，各行业部门、街镇主要领导及分管领导、消防安全管理人员均需参加培训考核，培训成绩纳入绩效考核。</w:t>
            </w:r>
          </w:p>
          <w:p>
            <w:pPr>
              <w:pStyle w:val="null3"/>
              <w:ind w:firstLine="482"/>
              <w:jc w:val="left"/>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符合国家相关质量标准或行业标准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消防评估完成后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项目服务整体完成后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在合同实施过程中，若乙方未按合同要求提供服务或服务质量不能满足合同要求，甲方应当将乙方违约的情况以及拟采取的措施以书面形式报政府采购监管部门，根据政府采购监管部门的处理意见，甲方有权依据《中华人民共和国民法典》有关条款及合同约定终止合同，并要求乙方承担违约责任。同时，政府采购监管部门有权依据《政府采购法》及相关法律法规对乙方的违法行为进行相应的处罚； 3、任何一方因不可抗力原因不能履行协议时，应尽快通知对方，双方均设法补偿。如仍无法履约协议，可协商延缓或撤销协议，双方责任免除。</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具有独立承担民事责任能力的法人、其他组织或自然人，并出具合法有效的营业执照或事业单位法人证书等国家规定的相关证明，自然人参与的提供其身份证明书</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书：具有独立承担民事责任能力的法人、其他组织或自然人，并出具合法有效的营业执照或事业单位法人证书等国家规定的相关证明，自然人参与的提供其身份证明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附法定代表人、被授权人身份证复印件）及被授权人身份证原件（法定代表人直接参加招标，须提供法定代表人身份证明及身份证原件）；非法人单位参照执行：法定代表人授权书（附法定代表人、被授权人身份证复印件）及被授权人身份证原件（法定代表人直接参加招标，须提供法定代表人身份证明及身份证原件）；非法人单位参照执行</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具有财务审计资质单位出具的2023年度或2024年度的财务报告（成立时间至投标时间不足一年的可提供成立后任意时段的资产负债表）或投标前六个月内其基本账户银行出具的资信证明（附开户许可证）或政府采购信用担保机构出具的投标担保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提供自2024年12月1日至今已缴纳的至少一个月的纳税证明或完税证明，纳税证明或完税证明上应有代收机构或税务机关的公章或业务专用章，依法免税的服务商应提供相关文件证明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提供自2024年12月1日至今已缴存的至少一个月的社会保障资金缴存单据或社保机构开具的社会保险参保缴费情况证明；依法不需要缴纳社会保障资金的应提供相关文件证明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前三年内无重大违法记录</w:t>
            </w:r>
          </w:p>
        </w:tc>
        <w:tc>
          <w:tcPr>
            <w:tcW w:type="dxa" w:w="3322"/>
          </w:tcPr>
          <w:p>
            <w:pPr>
              <w:pStyle w:val="null3"/>
            </w:pPr>
            <w:r>
              <w:rPr>
                <w:rFonts w:ascii="仿宋_GB2312" w:hAnsi="仿宋_GB2312" w:cs="仿宋_GB2312" w:eastAsia="仿宋_GB2312"/>
              </w:rPr>
              <w:t>参加政府采购活动前3年内，在经营活动中没有重大违法记录</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提供具有履行本合同所必需的设备和专业技术能力的声明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信誉</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现场由采购人或采购代理机构在投标文件资格审查阶段通过互联网或者相关系统查询，查询结果以现场现场查询为准）</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本项目不接受联合体投标，单位负责人为同一人或者存在直接控股、管理关系的不同供应商，不得参加同一合同项下的政府采购活动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有效性审查</w:t>
            </w:r>
          </w:p>
        </w:tc>
        <w:tc>
          <w:tcPr>
            <w:tcW w:type="dxa" w:w="3322"/>
          </w:tcPr>
          <w:p>
            <w:pPr>
              <w:pStyle w:val="null3"/>
            </w:pPr>
            <w:r>
              <w:rPr>
                <w:rFonts w:ascii="仿宋_GB2312" w:hAnsi="仿宋_GB2312" w:cs="仿宋_GB2312" w:eastAsia="仿宋_GB2312"/>
              </w:rPr>
              <w:t>（1）响应文件的签字、盖章：响应文件上法定代表人或其委托代理人的签字齐全并加盖单位章； （2）响应文件格式：应符合响应文件要求； （3）报价唯一：只能有一个有效报价， 不得提交选择性报价，且报价不超过采购预算；</w:t>
            </w:r>
          </w:p>
        </w:tc>
        <w:tc>
          <w:tcPr>
            <w:tcW w:type="dxa" w:w="1661"/>
          </w:tcPr>
          <w:p>
            <w:pPr>
              <w:pStyle w:val="null3"/>
            </w:pPr>
            <w:r>
              <w:rPr>
                <w:rFonts w:ascii="仿宋_GB2312" w:hAnsi="仿宋_GB2312" w:cs="仿宋_GB2312" w:eastAsia="仿宋_GB2312"/>
              </w:rPr>
              <w:t>响应文件封面 服务内容及服务邀请应答表 商务应答表 标的清单 响应函 陕西省政府采购供应商拒绝政府采购领域商业贿赂承诺书.docx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响应性审查</w:t>
            </w:r>
          </w:p>
        </w:tc>
        <w:tc>
          <w:tcPr>
            <w:tcW w:type="dxa" w:w="3322"/>
          </w:tcPr>
          <w:p>
            <w:pPr>
              <w:pStyle w:val="null3"/>
            </w:pPr>
            <w:r>
              <w:rPr>
                <w:rFonts w:ascii="仿宋_GB2312" w:hAnsi="仿宋_GB2312" w:cs="仿宋_GB2312" w:eastAsia="仿宋_GB2312"/>
              </w:rPr>
              <w:t>（1）服务期限： 1 年； （2）服务地点：采购人指定地点； （3）磋商有效期：满足磋商文件中的规定。</w:t>
            </w:r>
          </w:p>
        </w:tc>
        <w:tc>
          <w:tcPr>
            <w:tcW w:type="dxa" w:w="1661"/>
          </w:tcPr>
          <w:p>
            <w:pPr>
              <w:pStyle w:val="null3"/>
            </w:pPr>
            <w:r>
              <w:rPr>
                <w:rFonts w:ascii="仿宋_GB2312" w:hAnsi="仿宋_GB2312" w:cs="仿宋_GB2312" w:eastAsia="仿宋_GB2312"/>
              </w:rPr>
              <w:t>响应文件封面 服务内容及服务邀请应答表 商务应答表 标的清单 响应函 陕西省政府采购供应商拒绝政府采购领域商业贿赂承诺书.docx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供应商须提供近三年（2022年12月至今）完成类似项目业绩，以合同为准，每有一项业绩得2分，业绩最高得分不超过10分。 注：时间以合同签订时间为准；须提供合同复印件。</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vMerge/>
          </w:tcP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①项目整体情况分析切合实际、合理（5分）②本项目重点难点分析合理、理解全面透彻、符合项目需求（5分），评审标准： 1、完善性：分析全面，对评审内容中的各项要求有详细阐述； 2、可实施性：切合本项目实际情况，提出步骤清晰、合理的方案； 3、针对性：能够紧扣项目实际情况，内容科学合理。 上述 2 项评审内容全部满足评审标准得10分，每有一个单项评审内容缺项，单项分值扣完，评审内容中每存在一处缺陷，扣1分，扣完为止。 说明：缺陷是指内容缺项、不完整或缺少关键点、虽有内容但不完善、不全面、内容表述前后不一；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根据供应商提供针对本项目服务方案，包含：①服务的详细程序（5分）②培训的流程、计划及方案（5分） 评审标准： 1、完善性：方案必须全面，对评审内容中的各项要求有详细阐述； 2、可实施性：切合本项目实际情况，提出步骤清晰、合理的方案； 3、针对性：方案能够紧扣项目实际情况，内容科学合理。 上述2项评审内容全部满足评审标准得10分，每有一个单项评审内容缺项，单项分值扣完，评审内容中每存在一处缺陷，扣1分，扣完为止。 说明：缺陷是指内容缺项、不完整或缺少关键点、虽有内容但不完善、不全面、内容表述前后不一；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项目进度计划安排</w:t>
            </w:r>
          </w:p>
        </w:tc>
        <w:tc>
          <w:tcPr>
            <w:tcW w:type="dxa" w:w="2492"/>
          </w:tcPr>
          <w:p>
            <w:pPr>
              <w:pStyle w:val="null3"/>
            </w:pPr>
            <w:r>
              <w:rPr>
                <w:rFonts w:ascii="仿宋_GB2312" w:hAnsi="仿宋_GB2312" w:cs="仿宋_GB2312" w:eastAsia="仿宋_GB2312"/>
              </w:rPr>
              <w:t>供应商必须结合本项目的实际情况，制定项目进度计划方案，方案内容包括： ①项目实施前期准备;（4 分） ②项目实施整体的计划;（4分） ③项目实施的控制方法;（2分） 评审标准： 1、完善性：方案必须全面，对评审内容中的各项要求有详细阐述； 2、可实施性：切合本项目实际情况，提出步骤清晰、合理的方案； 3、针对性：方案能够紧扣项目实际情况，内容科学合理。 上述 3 项评审内容全部满足评审标准得10分，每有一个单项评审内容缺项，单项分值扣完，评审内容中每存在一处缺陷，扣 1 分，扣完为止。 说明：缺陷是指内容缺项、不完整或缺少关键点、虽有内容但不完善、不全面、内容表述前后不一；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人员配备情况1</w:t>
            </w:r>
          </w:p>
        </w:tc>
        <w:tc>
          <w:tcPr>
            <w:tcW w:type="dxa" w:w="2492"/>
          </w:tcPr>
          <w:p>
            <w:pPr>
              <w:pStyle w:val="null3"/>
            </w:pPr>
            <w:r>
              <w:rPr>
                <w:rFonts w:ascii="仿宋_GB2312" w:hAnsi="仿宋_GB2312" w:cs="仿宋_GB2312" w:eastAsia="仿宋_GB2312"/>
              </w:rPr>
              <w:t>（1）项目负责人从业经历1-3（含3）年以上的得1分；3-5（含5）年得2分；5年以上得3分；最多得3分。 注：从业经历以职称证书取得时间为准，响应文件须附职称证扫描件。</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人员配备情况2</w:t>
            </w:r>
          </w:p>
        </w:tc>
        <w:tc>
          <w:tcPr>
            <w:tcW w:type="dxa" w:w="2492"/>
          </w:tcPr>
          <w:p>
            <w:pPr>
              <w:pStyle w:val="null3"/>
            </w:pPr>
            <w:r>
              <w:rPr>
                <w:rFonts w:ascii="仿宋_GB2312" w:hAnsi="仿宋_GB2312" w:cs="仿宋_GB2312" w:eastAsia="仿宋_GB2312"/>
              </w:rPr>
              <w:t>（2）根据供应商提供针对本项目的人员配备情况，包含：①人员岗位职责划分明确②管理及岗位制度③专业技术人员投入情况等三项内容进行综合评审。满足且人员保障措施详细、职责划分清晰、拟投入的人员能够满足服务要求及项目需求每项得3分；有某一项不完整或不符合实际要求或不满足实施要求或套用其他项目内容的每项扣1分；本项最高得9分。未提供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人员配备情况3</w:t>
            </w:r>
          </w:p>
        </w:tc>
        <w:tc>
          <w:tcPr>
            <w:tcW w:type="dxa" w:w="2492"/>
          </w:tcPr>
          <w:p>
            <w:pPr>
              <w:pStyle w:val="null3"/>
            </w:pPr>
            <w:r>
              <w:rPr>
                <w:rFonts w:ascii="仿宋_GB2312" w:hAnsi="仿宋_GB2312" w:cs="仿宋_GB2312" w:eastAsia="仿宋_GB2312"/>
              </w:rPr>
              <w:t>（3）拟投入的其他人员具有相关岗位证书或资格证书或职称证的每一人计1分，满分3分。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根据供应商针对本项目提供的质量保证措施进行综合评分，包含：①内部控制管理②风险控制管理③质量保障措施等。满足要求且内容详细每项得3分；有某一项不完整或不符合实际要求或不满足实施要求或套用其他项目内容的每项扣1分；本项最高得9分。未提供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根据本项目的服务内容，做出切实可行的服务承诺①各项服务内容②确保项目能按时按质完成③达到服务要求且能保证项目质量④后续服务承诺。满足要求且内容详细每项得2分；有某一项不完整或不符合实际要求或不满足实施要求或套用其他项目内容的每项扣1分；本项最高得8分。未提供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针对本项目提供具体的合理化建议。 （1）建议科学合理、具有针对性、切实可行得8分 （2）建议基本合理，具有一定的可行性得6分 （3）建议较合理，可行性较差得3分。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资格审查和符合性审查均合格的磋商响应文件，其磋商报价为有效磋商报价。满足磋商文件要求且最终磋商报价最低的为基准价，其价格分为满分。其他磋商供应商的价格分统一按照下列公式计算：最终磋商报价得分=（评审基准价/最终磋商报价）×标准分值。（备注：本项目专门面向中小企业，专门面向中小企业（或小微企业）采购的项目不进行评审优惠）</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详见附件：服务方案.docx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