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版本号：LWQZFCG2025-023.1B120260130002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执法执勤车辆采购项目(二次)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LWQZFCG2025-023.1B1</w:t>
      </w:r>
      <w:r>
        <w:br/>
      </w:r>
      <w:r>
        <w:br/>
      </w:r>
      <w:r>
        <w:br/>
      </w:r>
    </w:p>
    <w:p>
      <w:pPr>
        <w:pStyle w:val="null3"/>
        <w:jc w:val="center"/>
        <w:outlineLvl w:val="2"/>
      </w:pPr>
      <w:r>
        <w:rPr>
          <w:rFonts w:ascii="仿宋_GB2312" w:hAnsi="仿宋_GB2312" w:cs="仿宋_GB2312" w:eastAsia="仿宋_GB2312"/>
          <w:sz w:val="28"/>
          <w:b/>
        </w:rPr>
        <w:t>渭南市临渭区市场监督管理局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渭南市临渭区市场监督管理局</w:t>
      </w:r>
      <w:r>
        <w:rPr>
          <w:rFonts w:ascii="仿宋_GB2312" w:hAnsi="仿宋_GB2312" w:cs="仿宋_GB2312" w:eastAsia="仿宋_GB2312"/>
        </w:rPr>
        <w:t>委托，拟对</w:t>
      </w:r>
      <w:r>
        <w:rPr>
          <w:rFonts w:ascii="仿宋_GB2312" w:hAnsi="仿宋_GB2312" w:cs="仿宋_GB2312" w:eastAsia="仿宋_GB2312"/>
        </w:rPr>
        <w:t>执法执勤车辆采购项目(二次)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LWQZFCG2025-023.1B1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执法执勤车辆采购项目(二次)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用于市场监督日常执法，补充车辆缺口，保障执法工作高效、安全开展。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渭南市临渭区杜化路中段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渭南市临渭区市场监督管理局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车辆及其备附件到达采购人指定地点后，采购人根据合同要求，在中标供应商和采购人相关负责人双方同时在场的情况下，进行外观验收，确认产地、规格、型号和数量、车体喷涂及上牌（车身规范粘贴“市场监督管理”制式标识，车体喷涂、字体、尺寸、位置等符合《市场监督管理执法装备配备指南》，粘贴平整、不易脱落）。 必要时采购人可委托具有相关资质的第三方检测机构/技术专家对车辆进行验收，需要国家法定检验部门进行检验或验收的由中标供应商负责联系）。验收合格后，填写政府采购项目验收单作为对车辆的最终认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渭南市临渭区市场监督管理局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用于市场监督日常执法，补充车辆缺口，保障执法工作高效、安全开展。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472,000.00</w:t>
      </w:r>
    </w:p>
    <w:p>
      <w:pPr>
        <w:pStyle w:val="null3"/>
      </w:pPr>
      <w:r>
        <w:rPr>
          <w:rFonts w:ascii="仿宋_GB2312" w:hAnsi="仿宋_GB2312" w:cs="仿宋_GB2312" w:eastAsia="仿宋_GB2312"/>
        </w:rPr>
        <w:t>采购包最高限价（元）: 472,000.00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执法执勤车辆采购</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472,000.00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标的名称：执法执勤车辆采购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标的名称：执法执勤车辆采购项目</w:t>
            </w:r>
          </w:p>
          <w:tbl>
            <w:tblPr>
              <w:tblInd w:type="dxa" w:w="75"/>
              <w:tblBorders>
                <w:top w:val="none" w:color="000000" w:sz="4"/>
                <w:left w:val="none" w:color="000000" w:sz="4"/>
                <w:bottom w:val="none" w:color="000000" w:sz="4"/>
                <w:right w:val="none" w:color="000000" w:sz="4"/>
                <w:insideH w:val="none"/>
                <w:insideV w:val="none"/>
              </w:tblBorders>
            </w:tblPr>
            <w:tblGrid>
              <w:gridCol w:w="134"/>
              <w:gridCol w:w="867"/>
              <w:gridCol w:w="1552"/>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1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技术参数及配置</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▲车型与能源</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国产轿车；插电式混合动力</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▲排量</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≤1.5（含1.5T）</w:t>
                  </w:r>
                  <w:r>
                    <w:rPr>
                      <w:rFonts w:ascii="仿宋_GB2312" w:hAnsi="仿宋_GB2312" w:cs="仿宋_GB2312" w:eastAsia="仿宋_GB2312"/>
                      <w:sz w:val="22"/>
                      <w:color w:val="000000"/>
                    </w:rPr>
                    <w:t>L</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油耗</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L</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纯电续航里程</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≥60km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综合续航里程</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≥1300km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▲排放标准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符合国六</w:t>
                  </w:r>
                  <w:r>
                    <w:rPr>
                      <w:rFonts w:ascii="仿宋_GB2312" w:hAnsi="仿宋_GB2312" w:cs="仿宋_GB2312" w:eastAsia="仿宋_GB2312"/>
                      <w:sz w:val="22"/>
                      <w:color w:val="000000"/>
                    </w:rPr>
                    <w:t>b标准</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车身结构</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门</w:t>
                  </w:r>
                  <w:r>
                    <w:rPr>
                      <w:rFonts w:ascii="仿宋_GB2312" w:hAnsi="仿宋_GB2312" w:cs="仿宋_GB2312" w:eastAsia="仿宋_GB2312"/>
                      <w:sz w:val="22"/>
                      <w:color w:val="000000"/>
                    </w:rPr>
                    <w:t>5座</w:t>
                  </w:r>
                  <w:r>
                    <w:rPr>
                      <w:rFonts w:ascii="仿宋_GB2312" w:hAnsi="仿宋_GB2312" w:cs="仿宋_GB2312" w:eastAsia="仿宋_GB2312"/>
                      <w:sz w:val="22"/>
                      <w:color w:val="000000"/>
                    </w:rPr>
                    <w:t>三厢车</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变速箱</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发动机额定功率</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≥74kW</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发动机最大扭矩</w:t>
                  </w:r>
                  <w:r>
                    <w:rPr>
                      <w:rFonts w:ascii="仿宋_GB2312" w:hAnsi="仿宋_GB2312" w:cs="仿宋_GB2312" w:eastAsia="仿宋_GB2312"/>
                      <w:sz w:val="22"/>
                      <w:color w:val="000000"/>
                    </w:rPr>
                    <w:t>/最大马力</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≥126N.m/≥100Ps</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w:t>
                  </w:r>
                  <w:r>
                    <w:rPr>
                      <w:rFonts w:ascii="仿宋_GB2312" w:hAnsi="仿宋_GB2312" w:cs="仿宋_GB2312" w:eastAsia="仿宋_GB2312"/>
                      <w:sz w:val="22"/>
                      <w:color w:val="000000"/>
                    </w:rPr>
                    <w:t>机总动率</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≥100kW</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w:t>
                  </w:r>
                  <w:r>
                    <w:rPr>
                      <w:rFonts w:ascii="仿宋_GB2312" w:hAnsi="仿宋_GB2312" w:cs="仿宋_GB2312" w:eastAsia="仿宋_GB2312"/>
                      <w:sz w:val="22"/>
                      <w:color w:val="000000"/>
                    </w:rPr>
                    <w:t>机总扭矩</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≥210N.m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车身尺寸：</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≥4830mm宽≥1850mm高≥14</w:t>
                  </w:r>
                  <w:r>
                    <w:rPr>
                      <w:rFonts w:ascii="仿宋_GB2312" w:hAnsi="仿宋_GB2312" w:cs="仿宋_GB2312" w:eastAsia="仿宋_GB2312"/>
                      <w:sz w:val="22"/>
                      <w:color w:val="000000"/>
                    </w:rPr>
                    <w:t>80</w:t>
                  </w:r>
                  <w:r>
                    <w:rPr>
                      <w:rFonts w:ascii="仿宋_GB2312" w:hAnsi="仿宋_GB2312" w:cs="仿宋_GB2312" w:eastAsia="仿宋_GB2312"/>
                      <w:sz w:val="22"/>
                      <w:color w:val="000000"/>
                    </w:rPr>
                    <w:t>mm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轴距</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≥2700mm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燃油箱总量</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≥55L</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制动形式</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通风盘式</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车身稳定系统</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多功能方向盘</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中控台</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显示屏</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车内中控锁</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悬架类型</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前悬架麦弗逊式独立悬架，后悬架为独立悬架</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整车质保</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≥6年或15万公里</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电池组质保</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电池</w:t>
                  </w:r>
                  <w:r>
                    <w:rPr>
                      <w:rFonts w:ascii="仿宋_GB2312" w:hAnsi="仿宋_GB2312" w:cs="仿宋_GB2312" w:eastAsia="仿宋_GB2312"/>
                      <w:sz w:val="22"/>
                      <w:color w:val="000000"/>
                    </w:rPr>
                    <w:t>/电机/电控/三电质保终身</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内饰材质</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皮质座椅</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安全配置</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360全景影像/前后驻车雷达/6安全气囊</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▲电池类型</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磷酸铁锂电池</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亮点配置</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8扬声器/对外放电功能/12.8英寸多媒体屏幕/自动折叠外后视镜/usb充电接口</w:t>
                  </w:r>
                </w:p>
              </w:tc>
            </w:tr>
          </w:tbl>
          <w:p>
            <w:pPr>
              <w:pStyle w:val="null3"/>
              <w:jc w:val="both"/>
            </w:pPr>
            <w:r>
              <w:rPr>
                <w:rFonts w:ascii="仿宋_GB2312" w:hAnsi="仿宋_GB2312" w:cs="仿宋_GB2312" w:eastAsia="仿宋_GB2312"/>
                <w:sz w:val="22"/>
                <w:color w:val="000000"/>
              </w:rPr>
              <w:t>注：</w:t>
            </w:r>
            <w:r>
              <w:rPr>
                <w:rFonts w:ascii="仿宋_GB2312" w:hAnsi="仿宋_GB2312" w:cs="仿宋_GB2312" w:eastAsia="仿宋_GB2312"/>
                <w:sz w:val="22"/>
                <w:color w:val="000000"/>
              </w:rPr>
              <w:t>1.本项目核心产品：4辆执法执勤车。</w:t>
            </w:r>
          </w:p>
          <w:p>
            <w:pPr>
              <w:pStyle w:val="null3"/>
              <w:ind w:firstLine="440"/>
              <w:jc w:val="both"/>
            </w:pPr>
            <w:r>
              <w:rPr>
                <w:rFonts w:ascii="仿宋_GB2312" w:hAnsi="仿宋_GB2312" w:cs="仿宋_GB2312" w:eastAsia="仿宋_GB2312"/>
                <w:sz w:val="22"/>
                <w:color w:val="000000"/>
              </w:rPr>
              <w:t>2.标★参数需求为实质性要求，供应商必须响应并满足的参数需求。</w:t>
            </w:r>
          </w:p>
          <w:p>
            <w:pPr>
              <w:pStyle w:val="null3"/>
              <w:ind w:firstLine="440"/>
            </w:pPr>
            <w:r>
              <w:rPr>
                <w:rFonts w:ascii="仿宋_GB2312" w:hAnsi="仿宋_GB2312" w:cs="仿宋_GB2312" w:eastAsia="仿宋_GB2312"/>
                <w:sz w:val="22"/>
                <w:color w:val="000000"/>
              </w:rPr>
              <w:t>3.标▲项为重要参数，不满足将影响评分。</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7个日历日内完成全部车辆交付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车辆到达采购人指定地点并验收合格后，支付车辆总价款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车辆及其备附件到达采购人指定地点后，采购人根据合同要求，在中标供应商和采购人相关负责人双方同时在场的情况下，进行外观验收，确认产地、规格、型号和数量、车体喷涂及上牌（车身规范粘贴“市场监督管理”制式标识，车体喷涂、字体、尺寸、位置等符合《市场监督管理执法装备配备指南》，粘贴平整、不易脱落）。 必要时采购人可委托具有相关资质的第三方检测机构/技术专家对车辆进行验收，需要国家法定检验部门进行检验或验收的由中标供应商负责联系）。验收合格后，填写政府采购项目验收单作为对车辆的最终认可。 （二）验收依据 1、招标文件、投标文件； 2、本合同及附件文本； 3、合同签订时国家及行业现行的标准和技术规范。 （三）中标供应商应向采购人提交项目实施过程中的所有资料，以便采购人日后管理和维护。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（一）整车质保不低于 6年或 15 万公里，质保期内 1、凡正常使用中出现的故障，均由中标供应商负责提供免费检测维修、更换不合格的零部件直至整机（更换的零部件或整机应保证自更换之日起提供相同的质量保证期），若需返厂处理，中标供应商应承担相关费用。同时记录检修情况，并向采购人提供检修报告。 2、凡设备发生质量问题或出现其他故障，接到采购人通知后，服务响应时间不超过1小时，2小时内派专业维修人员到达现场，4小时内排除故障。排除故障的期限最长不得超过两个工作日，否则采购人有权指定第三方维修，维修费用由中标供应商承担。 3、免费提供每周7×24小时不间断的电话支持服务，解答用户在使用过程中遇到的问题，及时提出解决问题的建议和对策。 4、定期派专业维修人员到现场走访，给予检查维护。并向采购人提供巡检单（一式两份，由双方签字确认），内容包含但不限于巡检时间、巡检内容、巡检结果。 5、款项结清前，对所供车辆进行一次全面检测、保养和维护。 （二）质保期满后 中标供应商应保证以合理的价格提供维护和保养服务，当发生故障时，中标供应商应按质保期内相同的服务标准进行维护处理。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（二）未按合同要求提供服务或服务质量不能满足合同要求，采购人有权依据《中华人民共和国民法典》有关条款及合同约定终止合同，并要求中标人承担违约责任。 （三）中标人未按合同约定的交货日期交货的，每逾期一日，向采购人支付逾期交付货物价款的 2%的违约金，但不超过合同总金额的10%。中标人支付逾期交货违约金并不免除其交货的责任。 如中标人在政府采购合同规定的交货日期后 10 天内仍未能交货，则视为中标人不能交货，采购人有权解除政府采购合同，中标人除退还已收取的货款外，还应向采购人偿付政府采购合同总金额 10%的违约金，并承担由此给采购人造成的一切损失。 （四）中标人所交付货物不符合其投标承诺，存在偷工减料、以次充好情形的，采购人要求更换一次后仍不符合约定的，采购人有权解除政府采购合同，并将有关情况上报政府采购监管部门处理。 争议解决 执行本合同中产生纠纷，由采购人与中标人双方协商解决；协商不成， 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中小企业声明函 商务应答表 供应商承诺书（一）（二）.docx 商务响应表.docx 供应商概况.docx 投标方案说明书.docx 产品技术参数表 投标人应提交的相关资格证明材料.docx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按要求填写技术规格偏离表，产品技术参数明确，无负偏离，产品规格符合招标文件要求、数量准确无缺漏项的得30分，其中标记▲技术参数每负偏离一项扣2分，其他技术参数每负偏离一项扣1分。扣完为止。备注：1.▲项参数需提供佐证材料，否则视为未响应。佐证材料例包括但不限于：技术资料、第三方检测报告，制造厂家出具的对应产品的铭牌，制造厂家出具的对应产品的彩页；制造厂家官网截图等。 2.佐证材料与技术指标不一致或未按要求提供证明材料的视为负偏离。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一、评审内容：投标人需针对本项目提供完整的项目实施方案。内容包含：①人员、 物力配置方案②项目进度安排③验收及挂牌保证措施④应急处置 措施。 二、 评审标准： 1、完善性：方案必须全面，对评审内容中的各项要求有详细阐述； 2、可实施性：切合本项目实际情况，提出步骤清晰、合理的方案； 3、针对性：方案能够紧扣项目实际情况，内容科学合理。上述4项评审内容无缺项、漏项且无缺陷的得8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技术培训服务方案</w:t>
            </w:r>
          </w:p>
        </w:tc>
        <w:tc>
          <w:tcPr>
            <w:tcW w:type="dxa" w:w="2492"/>
          </w:tcPr>
          <w:p>
            <w:pPr>
              <w:pStyle w:val="null3"/>
            </w:pPr>
            <w:r>
              <w:rPr>
                <w:rFonts w:ascii="仿宋_GB2312" w:hAnsi="仿宋_GB2312" w:cs="仿宋_GB2312" w:eastAsia="仿宋_GB2312"/>
              </w:rPr>
              <w:t>一、评审内容： 投标人需针对本项目提供技术培训服务方案，内容包含：①详细功能和性能②常见故障的排除及紧急情况的处理。 二、评审标准： 1、完善性：方案必须全面，对评审内容中的各项要求有详细阐述； 2、可实施性：切合本项目实际情况，提出步骤清晰、合理的方案； 3、针对性：方案能够紧扣项目实际情况，内容科学合理。上述2项评审内容无缺项、漏项且无缺陷的得8分，其中每有一项内容存在缺项或漏项的扣4分，每有一处评审内容存在缺陷，扣2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投标人提供所投车辆的合法来源渠道证明文件或情况说明，得2分，不提供不得分。投标人可根据自身情况提供以下资料： 1、如投标人为所投产品经销商：提供货物的合法来源渠道证明文 件（例如：产品制造商授权、销售协议、代理协议等证明文件）。 2、如投标人为所投产品的制造商：需提供情况说明（说明产品为制造商自己生产）。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 ②故障处理响应时间方式及补救措施③产品维护和检修。 二、评审标准：1、完善性：方案必须全面，对评审内容中的各项要求有详细阐述； 2、可实施性：切合本项目实际情况，提出步骤清晰、合理的方案； 3、针对性：方案能够紧扣项目实际情况，内容科学合理。上述3项评审内容无缺项、漏项且无缺陷的得9分，其中每有一项内容存在缺项或漏项的扣3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10月 1 日以来类似项目业绩（以合同签订日期为准），每份合格业绩合同计1分，最高3分。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满足招标文件要求且投标价格最低的投标报价（落实政府采购政策进行价格调整的，以调整后的价格计算）为评标基准价，其价格分为满分。其他供应商的价格分统一按照下列公式计算： 投标报价得分=(评标基准价／投标报价)×40。 本项目采购标的对应的中小企业划分标准所属行业为工业。对符合价格扣除条件的小微企业报价给予 10 %的扣除，用扣除后的价格参加评审。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详见附件：合同文本响应.docx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详见附件：无“无效响应”情况声明.docx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详见附件：执法执勤车辆采购项目合同.docx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