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版本号：ZCSP-临渭区-2026-0002420260123001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崇凝镇红色智慧健身步道及配套设施建设项目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ZCSP-临渭区-2026-00024</w:t>
      </w:r>
      <w:r>
        <w:br/>
      </w:r>
      <w:r>
        <w:br/>
      </w:r>
      <w:r>
        <w:br/>
      </w:r>
    </w:p>
    <w:p>
      <w:pPr>
        <w:pStyle w:val="null3"/>
        <w:jc w:val="center"/>
        <w:outlineLvl w:val="2"/>
      </w:pPr>
      <w:r>
        <w:rPr>
          <w:rFonts w:ascii="仿宋_GB2312" w:hAnsi="仿宋_GB2312" w:cs="仿宋_GB2312" w:eastAsia="仿宋_GB2312"/>
          <w:sz w:val="28"/>
          <w:b/>
        </w:rPr>
        <w:t>陕西省渭南市临渭区崇凝镇人民政府</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陕西省渭南市临渭区崇凝镇人民政府</w:t>
      </w:r>
      <w:r>
        <w:rPr>
          <w:rFonts w:ascii="仿宋_GB2312" w:hAnsi="仿宋_GB2312" w:cs="仿宋_GB2312" w:eastAsia="仿宋_GB2312"/>
        </w:rPr>
        <w:t>委托，拟对</w:t>
      </w:r>
      <w:r>
        <w:rPr>
          <w:rFonts w:ascii="仿宋_GB2312" w:hAnsi="仿宋_GB2312" w:cs="仿宋_GB2312" w:eastAsia="仿宋_GB2312"/>
        </w:rPr>
        <w:t>崇凝镇红色智慧健身步道及配套设施建设项目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崇凝镇红色智慧健身步道及配套设施建设项目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为提高人民群众生活水平，满足群众的日常生活需求，本项目新建渭桥路健身步道，配套建设社区健身中心，打造段村标准化篮球场和健身休闲区，并配备相关配套设施设备等。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采购包1（崇凝镇红色智慧健身步道及配套设施建设项目）：属于专门面向中小企业采购。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1、企业资质：供应商须具备市政公用工程施工总承包三级（含三级）及以上资质，并具有有效的安全生产许可证；</w:t>
      </w:r>
    </w:p>
    <w:p>
      <w:pPr>
        <w:pStyle w:val="null3"/>
      </w:pPr>
      <w:r>
        <w:rPr>
          <w:rFonts w:ascii="仿宋_GB2312" w:hAnsi="仿宋_GB2312" w:cs="仿宋_GB2312" w:eastAsia="仿宋_GB2312"/>
        </w:rPr>
        <w:t>2、法定代表人授权书/法定代表人身份证明书：法定代表人参与磋商时需提供法定代表人身份证明书（附法定代表人身份证复印件），被授权人参与磋商时需提供法定代表人授权委托书及法定代表人身份证明书。（附法定代表人及被授权人身份证复印件）</w:t>
      </w:r>
    </w:p>
    <w:p>
      <w:pPr>
        <w:pStyle w:val="null3"/>
      </w:pPr>
      <w:r>
        <w:rPr>
          <w:rFonts w:ascii="仿宋_GB2312" w:hAnsi="仿宋_GB2312" w:cs="仿宋_GB2312" w:eastAsia="仿宋_GB2312"/>
        </w:rPr>
        <w:t>3、项目经理：拟派项目经理须具有市政公用工程二级及以上注册建造师资格，并具有有效的安全生产考核合格证，且无在建工程</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5、无控股、管理承诺：单位负责人为同一人或者存在直接控股、管理关系的不同供应商，不得参加同一合同项下的政府采购活动。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6、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由代理机构在投标文件递交截止日当天在“信用中国”网站和中国政府采购网站进行查询，截图留档。）</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陕西省渭南市临渭区崇凝镇人民政府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渭南市临渭区渭桥路与崇凝路交叉口南400米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0913-3351236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采购包1：999,980.95元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取费依据：按照《国家发展改革委关于进一步放开建设项目专业服务价格的通知》（发改价格﹝2015﹞299号）的要求，参照计价格﹝2002﹞1980号、发改价格﹝2011﹞534号文件的计费标准，以中标（成交）价为基数计算，按照标准收取。 2）预算编制费取费依据：参照陕价行发〔2024〕88号文件规定计取。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陕西省渭南市临渭区崇凝镇人民政府</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陕西省渭南市临渭区崇凝镇人民政府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陕西省渭南市临渭区崇凝镇人民政府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1、本工程应按工程量清单及磋商文件全部内容完成。 2、本工程验收标准应符合国家相关工程管理规定及行业标准。 3、依据磋商文件及成交人响应文件及签证单等文件内容进行验收。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 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999,980.95</w:t>
      </w:r>
    </w:p>
    <w:p>
      <w:pPr>
        <w:pStyle w:val="null3"/>
      </w:pPr>
      <w:r>
        <w:rPr>
          <w:rFonts w:ascii="仿宋_GB2312" w:hAnsi="仿宋_GB2312" w:cs="仿宋_GB2312" w:eastAsia="仿宋_GB2312"/>
        </w:rPr>
        <w:t>采购包最高限价（元）: 999,980.95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崇凝镇红色智慧健身步道及配套设施建设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999,980.95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标的名称：崇凝镇红色智慧健身步道及配套设施建设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98"/>
              <w:jc w:val="left"/>
            </w:pPr>
            <w:r>
              <w:rPr>
                <w:rFonts w:ascii="仿宋_GB2312" w:hAnsi="仿宋_GB2312" w:cs="仿宋_GB2312" w:eastAsia="仿宋_GB2312"/>
                <w:sz w:val="24"/>
                <w:b/>
                <w:color w:val="000000"/>
              </w:rPr>
              <w:t>1、项目基本情况</w:t>
            </w:r>
          </w:p>
          <w:p>
            <w:pPr>
              <w:pStyle w:val="null3"/>
              <w:ind w:firstLine="532"/>
              <w:jc w:val="left"/>
            </w:pPr>
            <w:r>
              <w:rPr>
                <w:rFonts w:ascii="仿宋_GB2312" w:hAnsi="仿宋_GB2312" w:cs="仿宋_GB2312" w:eastAsia="仿宋_GB2312"/>
                <w:sz w:val="24"/>
                <w:color w:val="000000"/>
              </w:rPr>
              <w:t>为提高人民群众生活水平，满足群众的日常生活需求，本项目新建渭桥路健身步道，配套建设社区健身中心，打造段村标准化篮球场和健身休闲区，并配备相关配套设施设备等。</w:t>
            </w:r>
          </w:p>
          <w:p>
            <w:pPr>
              <w:pStyle w:val="null3"/>
              <w:ind w:firstLine="532"/>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2、商务要求</w:t>
            </w:r>
          </w:p>
          <w:p>
            <w:pPr>
              <w:pStyle w:val="null3"/>
              <w:ind w:firstLine="496"/>
              <w:jc w:val="left"/>
            </w:pPr>
            <w:r>
              <w:rPr>
                <w:rFonts w:ascii="仿宋_GB2312" w:hAnsi="仿宋_GB2312" w:cs="仿宋_GB2312" w:eastAsia="仿宋_GB2312"/>
                <w:sz w:val="24"/>
                <w:color w:val="000000"/>
              </w:rPr>
              <w:t>（1）本项目建设地点：渭南市临渭区崇凝镇段村</w:t>
            </w:r>
          </w:p>
          <w:p>
            <w:pPr>
              <w:pStyle w:val="null3"/>
              <w:ind w:firstLine="496"/>
              <w:jc w:val="left"/>
            </w:pPr>
            <w:r>
              <w:rPr>
                <w:rFonts w:ascii="仿宋_GB2312" w:hAnsi="仿宋_GB2312" w:cs="仿宋_GB2312" w:eastAsia="仿宋_GB2312"/>
                <w:sz w:val="24"/>
                <w:color w:val="000000"/>
              </w:rPr>
              <w:t>（2）工期：60日历天</w:t>
            </w:r>
          </w:p>
          <w:p>
            <w:pPr>
              <w:pStyle w:val="null3"/>
              <w:ind w:firstLine="496"/>
              <w:jc w:val="left"/>
            </w:pPr>
            <w:r>
              <w:rPr>
                <w:rFonts w:ascii="仿宋_GB2312" w:hAnsi="仿宋_GB2312" w:cs="仿宋_GB2312" w:eastAsia="仿宋_GB2312"/>
                <w:sz w:val="24"/>
                <w:color w:val="000000"/>
              </w:rPr>
              <w:t>（3）质保期：自验收合格之日起一年。</w:t>
            </w:r>
          </w:p>
          <w:p>
            <w:pPr>
              <w:pStyle w:val="null3"/>
              <w:ind w:firstLine="496"/>
              <w:jc w:val="left"/>
            </w:pPr>
            <w:r>
              <w:rPr>
                <w:rFonts w:ascii="仿宋_GB2312" w:hAnsi="仿宋_GB2312" w:cs="仿宋_GB2312" w:eastAsia="仿宋_GB2312"/>
                <w:sz w:val="24"/>
                <w:color w:val="000000"/>
              </w:rPr>
              <w:t>（4）质量标准：合格，按照《建设工程质量管理条例》及有关规定执行，质量保修期自工程竣工验收合格之日起计算。</w:t>
            </w:r>
          </w:p>
          <w:p>
            <w:pPr>
              <w:pStyle w:val="null3"/>
              <w:ind w:firstLine="496"/>
              <w:jc w:val="left"/>
            </w:pPr>
            <w:r>
              <w:rPr>
                <w:rFonts w:ascii="仿宋_GB2312" w:hAnsi="仿宋_GB2312" w:cs="仿宋_GB2312" w:eastAsia="仿宋_GB2312"/>
                <w:sz w:val="24"/>
                <w:color w:val="000000"/>
              </w:rPr>
              <w:t>5.付款方式：本工程依据工程进度按比例将进度应付款支付给供应商。首次付款比例不低于40%，工程完工后，进度款拨付至供应商合同总金额的90%；本工程竣工验收后需要进行结算审计，最终的结算审定金额为本工程的最终合同价款；结算审核完成后，支付剩余工程价款。</w:t>
            </w:r>
          </w:p>
          <w:p>
            <w:pPr>
              <w:pStyle w:val="null3"/>
              <w:ind w:firstLine="532"/>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工程施工要求</w:t>
            </w:r>
          </w:p>
          <w:p>
            <w:pPr>
              <w:pStyle w:val="null3"/>
              <w:ind w:firstLine="496"/>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施工组织实施保障要求</w:t>
            </w:r>
          </w:p>
          <w:p>
            <w:pPr>
              <w:pStyle w:val="null3"/>
              <w:ind w:firstLine="49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人员配备合理。有针对本项目的项目团队，项目负责人、配备人员分工明确（应有具体成员名单，包括姓名、工作职责等），施工现场关键岗位人员（项目经理、项目技术负责人、专职安全员、质量员、材料员）必须为实名制管理，否则，给采购人造成的损失由供应商全权负责。</w:t>
            </w:r>
          </w:p>
          <w:p>
            <w:pPr>
              <w:pStyle w:val="null3"/>
              <w:ind w:firstLine="49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2）有各类突发事件的应急预案和措施，有明确具体的承诺。</w:t>
            </w:r>
          </w:p>
          <w:p>
            <w:pPr>
              <w:pStyle w:val="null3"/>
              <w:ind w:firstLine="49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3）供应商所拟派的工作人员，若在施工期间发生任何伤害，采购人概不负责，由供应商自行处理。</w:t>
            </w:r>
          </w:p>
          <w:p>
            <w:pPr>
              <w:pStyle w:val="null3"/>
              <w:ind w:firstLine="496"/>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施工材料要求</w:t>
            </w:r>
          </w:p>
          <w:p>
            <w:pPr>
              <w:pStyle w:val="null3"/>
              <w:ind w:firstLine="49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1）施工中所使用的设备、材料、器件等应符合相关的国家标准和设计要求，取得供货商的产品合格证后方可使用，具备条件的可抽样送检合格后投入使用。</w:t>
            </w:r>
          </w:p>
          <w:p>
            <w:pPr>
              <w:pStyle w:val="null3"/>
              <w:ind w:firstLine="49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2）施工中,应做好材料设备、隐蔽工程和分项工程等中间环节的质量验收。隐蔽工程在验收合格后，方可进行下一道工序的施工。</w:t>
            </w:r>
          </w:p>
          <w:p>
            <w:pPr>
              <w:pStyle w:val="null3"/>
              <w:ind w:firstLine="532"/>
              <w:jc w:val="left"/>
            </w:pPr>
            <w:r>
              <w:rPr>
                <w:rFonts w:ascii="仿宋_GB2312" w:hAnsi="仿宋_GB2312" w:cs="仿宋_GB2312" w:eastAsia="仿宋_GB2312"/>
              </w:rPr>
              <w:t xml:space="preserve"> </w:t>
            </w:r>
          </w:p>
          <w:p>
            <w:pPr>
              <w:pStyle w:val="null3"/>
              <w:ind w:firstLine="498"/>
              <w:jc w:val="left"/>
            </w:pPr>
            <w:r>
              <w:rPr>
                <w:rFonts w:ascii="仿宋_GB2312" w:hAnsi="仿宋_GB2312" w:cs="仿宋_GB2312" w:eastAsia="仿宋_GB2312"/>
              </w:rPr>
              <w:t xml:space="preserve"> </w:t>
            </w:r>
          </w:p>
          <w:p>
            <w:pPr>
              <w:pStyle w:val="null3"/>
              <w:ind w:firstLine="498"/>
              <w:jc w:val="left"/>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《建筑与市政地基基础通用规范》(GB55003-2021)； 《工程建设标准强制性条文》（2013年版）； 《安全防范工程通用规范》 （GB 55029-2022）； 《施工现场临时用电安全技术规范》（JGJ46-88）； 《建筑抗震设计规范》（GB 50011-2010)(2016 年版)； 《市政道路工程质量检验评定标准》（CJJ1- 90） 《施工现场临时用电安全技术规范》（JGJ46-88 ） 《建设工程施工现场供用电安全规范》（GB50194-93） 《建设施工安全检查标准》（JGJ59-99） 《市政基础设施工程施工质量验收统一标准》(DB13(J)53-2005) 其他现行国家有关法律、规范、规程、工程建设标准及陕西省、渭南市地方法规、规范及标准。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（1）项目建设相关要求：严格执行国家相关标准、行业标准、地方标准等。 （2）投标人所有与本项目有关的技术标准均应不低于已颁布的国家和行业标准，或相应的国际标准的有关条文。使用最新的专利和保密专利需特别说明。</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参加政府采购活动前三年内在经营活动中无重大违法记录（提供书面声明，格式自拟）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法定代表人参与磋商时需提供法定代表人身份证明书（附法定代表人身份证复印件），被授权人参与磋商时需提供法定代表人授权委托书及法定代表人身份证明书。（附法定代表人及被授权人身份证复印件）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由代理机构在投标文件递交截止日当天在“信用中国”网站和中国政府采购网站进行查询，截图留档。）</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商务要求响应表.docx 项目技术、服务要求.docx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对招标内容的响应程度</w:t>
            </w:r>
          </w:p>
        </w:tc>
        <w:tc>
          <w:tcPr>
            <w:tcW w:type="dxa" w:w="3322"/>
          </w:tcPr>
          <w:p>
            <w:pPr>
              <w:pStyle w:val="null3"/>
            </w:pPr>
            <w:r>
              <w:rPr>
                <w:rFonts w:ascii="仿宋_GB2312" w:hAnsi="仿宋_GB2312" w:cs="仿宋_GB2312" w:eastAsia="仿宋_GB2312"/>
              </w:rPr>
              <w:t>要求实质性条款及商务要求的内容全部响应，不能有采购人不能接受的附加条件</w:t>
            </w:r>
          </w:p>
        </w:tc>
        <w:tc>
          <w:tcPr>
            <w:tcW w:type="dxa" w:w="1661"/>
          </w:tcPr>
          <w:p>
            <w:pPr>
              <w:pStyle w:val="null3"/>
            </w:pPr>
            <w:r>
              <w:rPr>
                <w:rFonts w:ascii="仿宋_GB2312" w:hAnsi="仿宋_GB2312" w:cs="仿宋_GB2312" w:eastAsia="仿宋_GB2312"/>
              </w:rPr>
              <w:t>商务要求响应表.docx 项目技术、服务要求.docx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中小企业声明函 商务要求响应表.docx 项目技术、服务要求.docx 强制优先采购产品承诺函 响应文件封面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供应商近三年（2023年1月至今）每具有1项类似业绩得1分，最多得5分，未提供得0分。（提供合同复印件加盖公章，以合同签订时间为准）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③资源配备计划：主要施工机械设备、劳动力等配备计划及主材进场计划；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投标方案及其他证明材料.docx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 ③相关技术措施； ④重点难点工程分析及解决措施。 （二）评审标准： （1）每项评审内容完整无缺陷得3分，满分12分；未提供得0分；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投标方案及其他证明材料.docx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③各个进度衔接的保证措施。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投标方案及其他证明材料.docx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（1）每项评审内容完整无缺陷得3分，满分6分；未提供得0分；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投标方案及其他证明材料.docx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①安全生产管理体系；②安全生产责任制度和安全教育培训制度；③各道工序安全技术措施。 （二）评审标准： （1）每项评审内容完整无缺陷得2分，满分6分；未提供得0分；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投标方案及其他证明材料.docx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（一）评审内容：①环境卫生管理制度；②防尘降噪措施； ③文明施工及环境保护措施。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投标方案及其他证明材料.docx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（1）人员配备：拟投入的项目管理机构人员结构合理、岗位职责明确，除项目经理外，项目管理机构每配备1人得0.5分，本项最高得5分； （2）人员职称：项目管理人员中，每具有一个工程类高级职称人员得1.5分，每具有一个工程类中级职称人员得1分,本项最高得4分。 注：须提供人员相关证件，不提供得0分。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满足竞争性磋商文件要求且磋商价格最低的最终磋商报价为磋商基准价，得满分35分； (3) 磋商报价得分=(磋商基准价／最终磋商报价)×35%×100。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详见附件：项目技术、服务要求.docx</w:t>
      </w:r>
    </w:p>
    <w:p>
      <w:pPr>
        <w:pStyle w:val="null3"/>
        <w:ind w:firstLine="960"/>
      </w:pPr>
      <w:r>
        <w:rPr>
          <w:rFonts w:ascii="仿宋_GB2312" w:hAnsi="仿宋_GB2312" w:cs="仿宋_GB2312" w:eastAsia="仿宋_GB2312"/>
        </w:rPr>
        <w:t>详见附件：投标方案及其他证明材料.docx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