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版本号：ZCSP-临渭区-2026-0002720260126001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杜桥街道西岳社区便民健身活动中心建设项目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ZCSP-临渭区-2026-00027</w:t>
      </w:r>
      <w:r>
        <w:br/>
      </w:r>
      <w:r>
        <w:br/>
      </w:r>
      <w:r>
        <w:br/>
      </w:r>
    </w:p>
    <w:p>
      <w:pPr>
        <w:pStyle w:val="null3"/>
        <w:jc w:val="center"/>
        <w:outlineLvl w:val="2"/>
      </w:pPr>
      <w:r>
        <w:rPr>
          <w:rFonts w:ascii="仿宋_GB2312" w:hAnsi="仿宋_GB2312" w:cs="仿宋_GB2312" w:eastAsia="仿宋_GB2312"/>
          <w:sz w:val="28"/>
          <w:b/>
        </w:rPr>
        <w:t>陕西省渭南市临渭区杜桥街道办事处</w:t>
      </w:r>
    </w:p>
    <w:p>
      <w:pPr>
        <w:pStyle w:val="null3"/>
        <w:jc w:val="center"/>
        <w:outlineLvl w:val="2"/>
      </w:pPr>
      <w:r>
        <w:rPr>
          <w:rFonts w:ascii="仿宋_GB2312" w:hAnsi="仿宋_GB2312" w:cs="仿宋_GB2312" w:eastAsia="仿宋_GB2312"/>
          <w:sz w:val="28"/>
          <w:b/>
        </w:rPr>
        <w:t>新瑞建设有限公司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新瑞建设有限公司</w:t>
      </w:r>
      <w:r>
        <w:rPr>
          <w:rFonts w:ascii="仿宋_GB2312" w:hAnsi="仿宋_GB2312" w:cs="仿宋_GB2312" w:eastAsia="仿宋_GB2312"/>
        </w:rPr>
        <w:t>（以下简称“代理机构”）受</w:t>
      </w:r>
      <w:r>
        <w:rPr>
          <w:rFonts w:ascii="仿宋_GB2312" w:hAnsi="仿宋_GB2312" w:cs="仿宋_GB2312" w:eastAsia="仿宋_GB2312"/>
        </w:rPr>
        <w:t>陕西省渭南市临渭区杜桥街道办事处</w:t>
      </w:r>
      <w:r>
        <w:rPr>
          <w:rFonts w:ascii="仿宋_GB2312" w:hAnsi="仿宋_GB2312" w:cs="仿宋_GB2312" w:eastAsia="仿宋_GB2312"/>
        </w:rPr>
        <w:t>委托，拟对</w:t>
      </w:r>
      <w:r>
        <w:rPr>
          <w:rFonts w:ascii="仿宋_GB2312" w:hAnsi="仿宋_GB2312" w:cs="仿宋_GB2312" w:eastAsia="仿宋_GB2312"/>
        </w:rPr>
        <w:t>杜桥街道西岳社区便民健身活动中心建设项目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ZCSP-临渭区-2026-00027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杜桥街道西岳社区便民健身活动中心建设项目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本项目主要施工内容：拟进行室内改造，增设室外楼梯及运动器材等相关配套设施。</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采购包1（杜桥街道西岳社区便民健身活动中心建设项目）：属于专门面向中小企业采购。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1、企业资质：供应商须具备建筑装修装饰工程专业承包二级及以上或建筑工程施工总承包三级及以上资质，并具有有效的安全生产许可证；</w:t>
      </w:r>
    </w:p>
    <w:p>
      <w:pPr>
        <w:pStyle w:val="null3"/>
      </w:pPr>
      <w:r>
        <w:rPr>
          <w:rFonts w:ascii="仿宋_GB2312" w:hAnsi="仿宋_GB2312" w:cs="仿宋_GB2312" w:eastAsia="仿宋_GB2312"/>
        </w:rPr>
        <w:t>2、项目经理：拟派项目经理须具有建筑工程二级及以上注册建造师资格并具有有效的安全生产考核合格证，且无在建工程；</w:t>
      </w:r>
    </w:p>
    <w:p>
      <w:pPr>
        <w:pStyle w:val="null3"/>
      </w:pPr>
      <w:r>
        <w:rPr>
          <w:rFonts w:ascii="仿宋_GB2312" w:hAnsi="仿宋_GB2312" w:cs="仿宋_GB2312" w:eastAsia="仿宋_GB2312"/>
        </w:rPr>
        <w:t>3、法定代表人身份证明书、法定代表人授权委托书：法定代表人参与磋商时需提供法定代表人身份证明书；被授权人参与磋商时需提供法定代表人身份证明书及法定代表人授权委托书；</w:t>
      </w:r>
    </w:p>
    <w:p>
      <w:pPr>
        <w:pStyle w:val="null3"/>
      </w:pPr>
      <w:r>
        <w:rPr>
          <w:rFonts w:ascii="仿宋_GB2312" w:hAnsi="仿宋_GB2312" w:cs="仿宋_GB2312" w:eastAsia="仿宋_GB2312"/>
        </w:rPr>
        <w:t>4、磋商保证金：磋商保证金交纳凭证；</w:t>
      </w:r>
    </w:p>
    <w:p>
      <w:pPr>
        <w:pStyle w:val="null3"/>
      </w:pPr>
      <w:r>
        <w:rPr>
          <w:rFonts w:ascii="仿宋_GB2312" w:hAnsi="仿宋_GB2312" w:cs="仿宋_GB2312" w:eastAsia="仿宋_GB2312"/>
        </w:rPr>
        <w:t>5、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陕西省渭南市临渭区杜桥街道办事处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前进路127号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张秦军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0913-2680208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新瑞建设有限公司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陕西省渭南市临渭区解放路北段渭河大街东段南侧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任玮强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0913-2136088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开户名称：新瑞建设有限公司</w:t>
            </w:r>
          </w:p>
          <w:p>
            <w:pPr>
              <w:pStyle w:val="null3"/>
            </w:pPr>
            <w:r>
              <w:rPr>
                <w:rFonts w:ascii="仿宋_GB2312" w:hAnsi="仿宋_GB2312" w:cs="仿宋_GB2312" w:eastAsia="仿宋_GB2312"/>
              </w:rPr>
              <w:t>开户银行：中国工商银行渭南乐天花园支行（行号：102797050086）</w:t>
            </w:r>
          </w:p>
          <w:p>
            <w:pPr>
              <w:pStyle w:val="null3"/>
            </w:pPr>
            <w:r>
              <w:rPr>
                <w:rFonts w:ascii="仿宋_GB2312" w:hAnsi="仿宋_GB2312" w:cs="仿宋_GB2312" w:eastAsia="仿宋_GB2312"/>
              </w:rPr>
              <w:t>银行账号：2605041319200030511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招标代理服务收费管理暂行办法》（国家发改委计价格〔2002〕1980号）以及国家发改价格〔2011〕534号文件规定计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陕西省渭南市临渭区杜桥街道办事处</w:t>
      </w:r>
      <w:r>
        <w:rPr>
          <w:rFonts w:ascii="仿宋_GB2312" w:hAnsi="仿宋_GB2312" w:cs="仿宋_GB2312" w:eastAsia="仿宋_GB2312"/>
        </w:rPr>
        <w:t>和</w:t>
      </w:r>
      <w:r>
        <w:rPr>
          <w:rFonts w:ascii="仿宋_GB2312" w:hAnsi="仿宋_GB2312" w:cs="仿宋_GB2312" w:eastAsia="仿宋_GB2312"/>
        </w:rPr>
        <w:t>新瑞建设有限公司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陕西省渭南市临渭区杜桥街道办事处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新瑞建设有限公司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陕西省渭南市临渭区杜桥街道办事处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新瑞建设有限公司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联系人：任玮强</w:t>
      </w:r>
    </w:p>
    <w:p>
      <w:pPr>
        <w:pStyle w:val="null3"/>
      </w:pPr>
      <w:r>
        <w:rPr>
          <w:rFonts w:ascii="仿宋_GB2312" w:hAnsi="仿宋_GB2312" w:cs="仿宋_GB2312" w:eastAsia="仿宋_GB2312"/>
        </w:rPr>
        <w:t>联系电话：0913-2136088</w:t>
      </w:r>
    </w:p>
    <w:p>
      <w:pPr>
        <w:pStyle w:val="null3"/>
      </w:pPr>
      <w:r>
        <w:rPr>
          <w:rFonts w:ascii="仿宋_GB2312" w:hAnsi="仿宋_GB2312" w:cs="仿宋_GB2312" w:eastAsia="仿宋_GB2312"/>
        </w:rPr>
        <w:t>地址：陕西省渭南市临渭区解放路北段渭河大街东段南侧</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799,439.02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杜桥街道西岳社区便民健身活动中心建设</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标的名称：杜桥街道西岳社区便民健身活动中心建设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本项目主要施工内容：拟进行室内改造，增设室外楼梯及运动器材等相关配套设施。</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《建筑工程施工质量验收统一标准》（GB50300-2013） 《施工现场临时用电安全技术规范》（JGJ46-88） 《建筑电气工程施工质量验收规范》（GB50303-2015） 《建设工程施工现场供用电安全规范》（GB50194-93） 《安全防范工程技术规范》（GB50348 -2004） 《电气装置安装工程施工及验收规范》(GB50169-2016) 《低压配电设计规范》（GB50054-2011） 《房屋建筑和市政基础设施工程质量检测技术管理规范》（GB 50618-2011） 《施工现场临时用电安全技术规范》JGJ46-88 《工程建设标准强制性条文》（2013年版） 其它国家、行业、地方现行执行规范、规程、标准。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（1）工期：60日历天。 （2）工程地点：渭南市临渭区杜桥街道西岳社区。 （3）质量标准：合格。 （4）质保期：自竣工验收合格之日起一年。 （5）付款方式：本工程依据工程进度按比例将进度应付款支付给供应商。首次付款比例不低于40%，工程完工后，进度款拨付至供应商合同总金额的90%；本工程竣工验收后需要进行结算审核，最终的结算审定金额为本工程的最终合同价款；结算审核完成后，支付剩余工程价款。 （6）工程项目建设相关要求：本项目严格执行国家相关标准、行业标准、地方标准等。 （7）本工程应按工程量清单、图纸及磋商文件完成全部内容。 （8）依据磋商文件及成交人响应文件及签证单等文件内容进行验收。 （9）供应商严格执行安全措施和交通组织措施，以保证施工及过往行人人身安全，杜绝安全事故的发生，因施工原因造成安全事故的责任和损失由成交人自行承担，采购人概不负责任和赔偿。 （10）供应商负责施工期间与相关部门的协调，并承担相关责任及发生的相关费用，必须确保本项目施工最终验收通过。</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1.成交供应商应在磋商会议结束后3日内向采购人提交最终版《工程量清单表》，供应商最终版《工程量清单表》中的总报价应与最终磋商总报价保持一致。 2.中标（成交）供应商在中标（成交）结果公告发布后3个工作日内提供叁套纸质投标文件（经编标工具生成的文件直接打印并加盖公章），递交的纸质版文件内容确保与线上电子文件保持一致，不允许修改和补充。 3.关于印发中小企业划型标准规定的通知（工信部联企业〔2011〕300号），中小企业划型标准规定：（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须提供合法有效，具有独立承担民事责任能力的证明资料；</w:t>
            </w:r>
          </w:p>
        </w:tc>
        <w:tc>
          <w:tcPr>
            <w:tcW w:type="dxa" w:w="1661"/>
          </w:tcPr>
          <w:p>
            <w:pPr>
              <w:pStyle w:val="null3"/>
            </w:pPr>
            <w:r>
              <w:rPr>
                <w:rFonts w:ascii="仿宋_GB2312" w:hAnsi="仿宋_GB2312" w:cs="仿宋_GB2312" w:eastAsia="仿宋_GB2312"/>
              </w:rPr>
              <w:t>政府采购二十二条</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w:t>
            </w:r>
          </w:p>
        </w:tc>
        <w:tc>
          <w:tcPr>
            <w:tcW w:type="dxa" w:w="3322"/>
          </w:tcPr>
          <w:p>
            <w:pPr>
              <w:pStyle w:val="null3"/>
            </w:pPr>
            <w:r>
              <w:rPr>
                <w:rFonts w:ascii="仿宋_GB2312" w:hAnsi="仿宋_GB2312" w:cs="仿宋_GB2312" w:eastAsia="仿宋_GB2312"/>
              </w:rPr>
              <w:t>（1）财务状况报告：提供具有财务审计资质单位出具的2024年度财务审计报告（成立时间至磋商时间不足一年的可提供成立后任意时段的资产负债表）或响应文件截止时间前六个月内其基本账户银行出具的资信证明（附基本账户证明）或政府采购信用担保机构出具的磋商担保函； （2）税收缴纳证明：提供响应文件递交截止时间前一年内任意一个月的缴费凭据；依法免税的应提供相关文件证明； （3）社会保障资金缴纳证明：提供响应文件递交截止时间前一年内任意一个月的社保缴费凭据或社保机构开具的社会保险参保缴费情况证明；依法不需要缴纳社会保障资金的供应商应提供相关文件证明；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三项内容可根据本磋商文件格式要求出具承诺函，成交供应商的承诺函同成交结果一并公示。</w:t>
            </w:r>
          </w:p>
        </w:tc>
        <w:tc>
          <w:tcPr>
            <w:tcW w:type="dxa" w:w="1661"/>
          </w:tcPr>
          <w:p>
            <w:pPr>
              <w:pStyle w:val="null3"/>
            </w:pPr>
            <w:r>
              <w:rPr>
                <w:rFonts w:ascii="仿宋_GB2312" w:hAnsi="仿宋_GB2312" w:cs="仿宋_GB2312" w:eastAsia="仿宋_GB2312"/>
              </w:rPr>
              <w:t>政府采购二十二条</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具有履行合同的说明或承诺</w:t>
            </w:r>
          </w:p>
        </w:tc>
        <w:tc>
          <w:tcPr>
            <w:tcW w:type="dxa" w:w="3322"/>
          </w:tcPr>
          <w:p>
            <w:pPr>
              <w:pStyle w:val="null3"/>
            </w:pPr>
            <w:r>
              <w:rPr>
                <w:rFonts w:ascii="仿宋_GB2312" w:hAnsi="仿宋_GB2312" w:cs="仿宋_GB2312" w:eastAsia="仿宋_GB2312"/>
              </w:rPr>
              <w:t>供应商具有履行合同所必需的设备和专业技术能力的说明或承诺（格式自拟）</w:t>
            </w:r>
          </w:p>
        </w:tc>
        <w:tc>
          <w:tcPr>
            <w:tcW w:type="dxa" w:w="1661"/>
          </w:tcPr>
          <w:p>
            <w:pPr>
              <w:pStyle w:val="null3"/>
            </w:pPr>
            <w:r>
              <w:rPr>
                <w:rFonts w:ascii="仿宋_GB2312" w:hAnsi="仿宋_GB2312" w:cs="仿宋_GB2312" w:eastAsia="仿宋_GB2312"/>
              </w:rPr>
              <w:t>政府采购二十二条</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参加政府采购活动前3年内在经营活动中无重大违法记录的书面声明（格式自拟）</w:t>
            </w:r>
          </w:p>
        </w:tc>
        <w:tc>
          <w:tcPr>
            <w:tcW w:type="dxa" w:w="1661"/>
          </w:tcPr>
          <w:p>
            <w:pPr>
              <w:pStyle w:val="null3"/>
            </w:pPr>
            <w:r>
              <w:rPr>
                <w:rFonts w:ascii="仿宋_GB2312" w:hAnsi="仿宋_GB2312" w:cs="仿宋_GB2312" w:eastAsia="仿宋_GB2312"/>
              </w:rPr>
              <w:t>政府采购二十二条</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参与的供应商（联合体）工程的施工单位全部为符合政策要求的中小企业。本项目所属行业：建筑业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供应商须具备建筑装修装饰工程专业承包二级及以上或建筑工程施工总承包三级及以上资质，并具有有效的安全生产许可证；</w:t>
            </w:r>
          </w:p>
        </w:tc>
        <w:tc>
          <w:tcPr>
            <w:tcW w:type="dxa" w:w="1661"/>
          </w:tcPr>
          <w:p>
            <w:pPr>
              <w:pStyle w:val="null3"/>
            </w:pPr>
            <w:r>
              <w:rPr>
                <w:rFonts w:ascii="仿宋_GB2312" w:hAnsi="仿宋_GB2312" w:cs="仿宋_GB2312" w:eastAsia="仿宋_GB2312"/>
              </w:rPr>
              <w:t>特定资格要求</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拟派项目经理须具有建筑工程二级及以上注册建造师资格并具有有效的安全生产考核合格证，且无在建工程；</w:t>
            </w:r>
          </w:p>
        </w:tc>
        <w:tc>
          <w:tcPr>
            <w:tcW w:type="dxa" w:w="1661"/>
          </w:tcPr>
          <w:p>
            <w:pPr>
              <w:pStyle w:val="null3"/>
            </w:pPr>
            <w:r>
              <w:rPr>
                <w:rFonts w:ascii="仿宋_GB2312" w:hAnsi="仿宋_GB2312" w:cs="仿宋_GB2312" w:eastAsia="仿宋_GB2312"/>
              </w:rPr>
              <w:t>项目管理机构组成表 标的清单 主要人员简历表 特定资格要求</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法定代表人身份证明书、法定代表人授权委托书</w:t>
            </w:r>
          </w:p>
        </w:tc>
        <w:tc>
          <w:tcPr>
            <w:tcW w:type="dxa" w:w="3322"/>
          </w:tcPr>
          <w:p>
            <w:pPr>
              <w:pStyle w:val="null3"/>
            </w:pPr>
            <w:r>
              <w:rPr>
                <w:rFonts w:ascii="仿宋_GB2312" w:hAnsi="仿宋_GB2312" w:cs="仿宋_GB2312" w:eastAsia="仿宋_GB2312"/>
              </w:rPr>
              <w:t>法定代表人参与磋商时需提供法定代表人身份证明书；被授权人参与磋商时需提供法定代表人身份证明书及法定代表人授权委托书；</w:t>
            </w:r>
          </w:p>
        </w:tc>
        <w:tc>
          <w:tcPr>
            <w:tcW w:type="dxa" w:w="1661"/>
          </w:tcPr>
          <w:p>
            <w:pPr>
              <w:pStyle w:val="null3"/>
            </w:pPr>
            <w:r>
              <w:rPr>
                <w:rFonts w:ascii="仿宋_GB2312" w:hAnsi="仿宋_GB2312" w:cs="仿宋_GB2312" w:eastAsia="仿宋_GB2312"/>
              </w:rPr>
              <w:t>特定资格要求</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磋商保证金交纳凭证；</w:t>
            </w:r>
          </w:p>
        </w:tc>
        <w:tc>
          <w:tcPr>
            <w:tcW w:type="dxa" w:w="1661"/>
          </w:tcPr>
          <w:p>
            <w:pPr>
              <w:pStyle w:val="null3"/>
            </w:pPr>
            <w:r>
              <w:rPr>
                <w:rFonts w:ascii="仿宋_GB2312" w:hAnsi="仿宋_GB2312" w:cs="仿宋_GB2312" w:eastAsia="仿宋_GB2312"/>
              </w:rPr>
              <w:t>特定资格要求</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特定资格要求</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供应商名称与营业执照、资质证书、安全生产许可证等相一致</w:t>
            </w:r>
          </w:p>
        </w:tc>
        <w:tc>
          <w:tcPr>
            <w:tcW w:type="dxa" w:w="1661"/>
          </w:tcPr>
          <w:p>
            <w:pPr>
              <w:pStyle w:val="null3"/>
            </w:pPr>
            <w:r>
              <w:rPr>
                <w:rFonts w:ascii="仿宋_GB2312" w:hAnsi="仿宋_GB2312" w:cs="仿宋_GB2312" w:eastAsia="仿宋_GB2312"/>
              </w:rPr>
              <w:t>已标价工程量清单 施工组织设计及其他证明材料 中小企业声明函 技术服务合同条款及其他商务要求应答表 强制优先采购产品承诺函 特定资格要求 响应文件封面 政府采购供应商拒绝政府采购领域商业贿赂承诺书 项目管理机构组成表 残疾人福利性单位声明函 报价函 政府采购二十二条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响应文件按竞争性磋商文件要求进行签章</w:t>
            </w:r>
          </w:p>
        </w:tc>
        <w:tc>
          <w:tcPr>
            <w:tcW w:type="dxa" w:w="1661"/>
          </w:tcPr>
          <w:p>
            <w:pPr>
              <w:pStyle w:val="null3"/>
            </w:pPr>
            <w:r>
              <w:rPr>
                <w:rFonts w:ascii="仿宋_GB2312" w:hAnsi="仿宋_GB2312" w:cs="仿宋_GB2312" w:eastAsia="仿宋_GB2312"/>
              </w:rPr>
              <w:t>已标价工程量清单 施工组织设计及其他证明材料 中小企业声明函 技术服务合同条款及其他商务要求应答表 强制优先采购产品承诺函 特定资格要求 响应文件封面 政府采购供应商拒绝政府采购领域商业贿赂承诺书 项目管理机构组成表 残疾人福利性单位声明函 报价函 政府采购二十二条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磋商报价没有超出本项目最高限价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满足竞争性磋商文件规定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满足竞争性磋商文件规定</w:t>
            </w:r>
          </w:p>
        </w:tc>
        <w:tc>
          <w:tcPr>
            <w:tcW w:type="dxa" w:w="1661"/>
          </w:tcPr>
          <w:p>
            <w:pPr>
              <w:pStyle w:val="null3"/>
            </w:pPr>
            <w:r>
              <w:rPr>
                <w:rFonts w:ascii="仿宋_GB2312" w:hAnsi="仿宋_GB2312" w:cs="仿宋_GB2312" w:eastAsia="仿宋_GB2312"/>
              </w:rPr>
              <w:t>报价函 标的清单 技术服务合同条款及其他商务要求应答表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对采购内容的响应程度</w:t>
            </w:r>
          </w:p>
        </w:tc>
        <w:tc>
          <w:tcPr>
            <w:tcW w:type="dxa" w:w="3322"/>
          </w:tcPr>
          <w:p>
            <w:pPr>
              <w:pStyle w:val="null3"/>
            </w:pPr>
            <w:r>
              <w:rPr>
                <w:rFonts w:ascii="仿宋_GB2312" w:hAnsi="仿宋_GB2312" w:cs="仿宋_GB2312" w:eastAsia="仿宋_GB2312"/>
              </w:rPr>
              <w:t>满足竞争性磋商文件规定</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无其他做无效磋商处理的情况</w:t>
            </w:r>
          </w:p>
        </w:tc>
        <w:tc>
          <w:tcPr>
            <w:tcW w:type="dxa" w:w="1661"/>
          </w:tcPr>
          <w:p>
            <w:pPr>
              <w:pStyle w:val="null3"/>
            </w:pPr>
            <w:r>
              <w:rPr>
                <w:rFonts w:ascii="仿宋_GB2312" w:hAnsi="仿宋_GB2312" w:cs="仿宋_GB2312" w:eastAsia="仿宋_GB2312"/>
              </w:rPr>
              <w:t>已标价工程量清单 施工组织设计及其他证明材料 中小企业声明函 技术服务合同条款及其他商务要求应答表 强制优先采购产品承诺函 特定资格要求 响应文件封面 政府采购供应商拒绝政府采购领域商业贿赂承诺书 项目管理机构组成表 残疾人福利性单位声明函 报价函 政府采购二十二条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①施工总平面布置； ②施工阶段划分及施工顺序安排； ③施工目标：安全目标、工期目标、质量目标； ④资源配备计划：主要施工机械设备、劳动力等配备计划及主材进场计划；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施工组织设计及其他证明材料</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①施工准备； ②施工方法及相关技术措施； ③重点难点工程分析及解决措施。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施工组织设计及其他证明材料</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（一）评审内容： ①施工进度计划； ②工期保障措施。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施工组织设计及其他证明材料</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（一）评审内容： ①质量管理体系； ②施工质量保障措施。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施工组织设计及其他证明材料</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（一）评审内容： ①安全生产管理体系； ②安全生产保证措施。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施工组织设计及其他证明材料</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（一）评审内容： ①文明施工及环境保护管理体系； ②防尘降噪措施； ③文明施工及环境保护措施。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施工组织设计及其他证明材料</w:t>
            </w:r>
          </w:p>
        </w:tc>
      </w:tr>
      <w:tr>
        <w:tc>
          <w:tcPr>
            <w:tcW w:type="dxa" w:w="831"/>
            <w:vMerge/>
          </w:tcPr>
          <w:p/>
        </w:tc>
        <w:tc>
          <w:tcPr>
            <w:tcW w:type="dxa" w:w="1661"/>
          </w:tcPr>
          <w:p>
            <w:pPr>
              <w:pStyle w:val="null3"/>
            </w:pPr>
            <w:r>
              <w:rPr>
                <w:rFonts w:ascii="仿宋_GB2312" w:hAnsi="仿宋_GB2312" w:cs="仿宋_GB2312" w:eastAsia="仿宋_GB2312"/>
              </w:rPr>
              <w:t>项目管理机构配备情况</w:t>
            </w:r>
          </w:p>
        </w:tc>
        <w:tc>
          <w:tcPr>
            <w:tcW w:type="dxa" w:w="2492"/>
          </w:tcPr>
          <w:p>
            <w:pPr>
              <w:pStyle w:val="null3"/>
            </w:pPr>
            <w:r>
              <w:rPr>
                <w:rFonts w:ascii="仿宋_GB2312" w:hAnsi="仿宋_GB2312" w:cs="仿宋_GB2312" w:eastAsia="仿宋_GB2312"/>
              </w:rPr>
              <w:t>（1）人员配备：拟投入的项目管理机构人员结构合理、岗位职责明确，除项目经理外，项目管理机构配备6人以上（含6人）得6分，每少1人扣1分，扣完为止，本项最高得6分； （2）项目管理人员中，每具有一个相关专业中级职称人员得1分，高级职称人员得1.5分，最多得3分。 注：须提供人员相关证件，不提供或完全背离评审标准得0分。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施工组织设计及其他证明材料</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针对本项目提出合理化建议，每提出一项有利于本项目实施的合理化建议得1分，本项最高得3分。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施工组织设计及其他证明材料</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供应商近三年（2023年1月至今）每具有1项类似业绩得1分，最多得5分，未提供得0分。（提供合同扫描件，以合同签订时间为准）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满足磋商文件要求且最后报价最低的价格为磋商基准价得35分； 其他供应商的价格分按下列公式计算： 磋商报价得分=(磋商基准价／最终磋商报价)×35%×100。</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详见附件：施工组织设计及其他证明材料</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详见附件：政府采购二十二条</w:t>
      </w:r>
    </w:p>
    <w:p>
      <w:pPr>
        <w:pStyle w:val="null3"/>
        <w:ind w:firstLine="960"/>
      </w:pPr>
      <w:r>
        <w:rPr>
          <w:rFonts w:ascii="仿宋_GB2312" w:hAnsi="仿宋_GB2312" w:cs="仿宋_GB2312" w:eastAsia="仿宋_GB2312"/>
        </w:rPr>
        <w:t>详见附件：特定资格要求</w:t>
      </w:r>
    </w:p>
    <w:p>
      <w:pPr>
        <w:pStyle w:val="null3"/>
        <w:ind w:firstLine="960"/>
      </w:pPr>
      <w:r>
        <w:rPr>
          <w:rFonts w:ascii="仿宋_GB2312" w:hAnsi="仿宋_GB2312" w:cs="仿宋_GB2312" w:eastAsia="仿宋_GB2312"/>
        </w:rPr>
        <w:t>详见附件：政府采购供应商拒绝政府采购领域商业贿赂承诺书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详见附件：9.合同文本.docx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