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版本号：政采-临渭区-2026-0000220260106001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马家沟生活垃圾处理场积存渗滤液处置工程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政采-临渭区-2026-00002</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马家沟生活垃圾处理场积存渗滤液处置工程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政采-临渭区-2026-00002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马家沟生活垃圾处理场积存渗滤液处置工程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因马家沟生活垃圾填埋场堆体内积存渗滤液较多，堆体存在环境安全隐患。为确保垃圾场安全，计划在180天内达标处理积存渗滤液5万余吨。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采购包1（马家沟生活垃圾处理场积存渗滤液处置工程）：属于专门面向中小企业采购。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及法定代表人身份证明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0913-8139358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13571518412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 xml:space="preserve"> 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w:t>
            </w:r>
          </w:p>
          <w:p>
            <w:pPr>
              <w:pStyle w:val="null3"/>
            </w:pPr>
            <w:r>
              <w:rPr>
                <w:rFonts w:ascii="仿宋_GB2312" w:hAnsi="仿宋_GB2312" w:cs="仿宋_GB2312" w:eastAsia="仿宋_GB2312"/>
              </w:rPr>
              <w:t>开户银行：西安银行股份有限公司未来支行</w:t>
            </w:r>
          </w:p>
          <w:p>
            <w:pPr>
              <w:pStyle w:val="null3"/>
            </w:pPr>
            <w:r>
              <w:rPr>
                <w:rFonts w:ascii="仿宋_GB2312" w:hAnsi="仿宋_GB2312" w:cs="仿宋_GB2312" w:eastAsia="仿宋_GB2312"/>
              </w:rPr>
              <w:t>银行账号：291011580000051615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1.质量标准：符合国家规范标准要求及采购人要求。 2.供应商在提供服务期间，必须严格按处理站设备操作规程、安全操作规程进行操作，确保出水达到规定排放标准，并保证人身安全。 3.资料验收:核查资料完整性,包含处置方案、合同、运行日志、水质监测报告、危废转移联单、设备合格证等。 4.本项目由采购人及相关部门定期对项目进行阶段性验收。 5.出水水质经采购人和供应商双方认可且有资质的第三方检测机构检测达标后（检测相关费用含在投标报价中），再由采购人进行验收。 6.验收标准：按招标文件、投标文件及澄清函、项目检查情况等综合指标进行验收。各项指标均应符合验收标准及要求。 7.中标单位要全力配合采购人做好各类上级检查督查工作。在上级检查中，因中标单位渗滤液处理方面的原因导致检查未予通过或受到相关处罚的，由中标单位承担由此对采购人产生的损失，同时采购人可以解除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联系人：王敏</w:t>
      </w:r>
    </w:p>
    <w:p>
      <w:pPr>
        <w:pStyle w:val="null3"/>
      </w:pPr>
      <w:r>
        <w:rPr>
          <w:rFonts w:ascii="仿宋_GB2312" w:hAnsi="仿宋_GB2312" w:cs="仿宋_GB2312" w:eastAsia="仿宋_GB2312"/>
        </w:rPr>
        <w:t>联系电话： 13571518412</w:t>
      </w:r>
    </w:p>
    <w:p>
      <w:pPr>
        <w:pStyle w:val="null3"/>
      </w:pPr>
      <w:r>
        <w:rPr>
          <w:rFonts w:ascii="仿宋_GB2312" w:hAnsi="仿宋_GB2312" w:cs="仿宋_GB2312" w:eastAsia="仿宋_GB2312"/>
        </w:rPr>
        <w:t>地址：陕西省西安市高新区唐延路11号禾盛京广中心E座17层1704A室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对垃圾堆体内积存渗滤液进行处理及高密度聚乙烯(HDPE)膜临时覆盖，日达标处理渗滤液出水量不小于300吨。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10,500,000.00</w:t>
      </w:r>
    </w:p>
    <w:p>
      <w:pPr>
        <w:pStyle w:val="null3"/>
      </w:pPr>
      <w:r>
        <w:rPr>
          <w:rFonts w:ascii="仿宋_GB2312" w:hAnsi="仿宋_GB2312" w:cs="仿宋_GB2312" w:eastAsia="仿宋_GB2312"/>
        </w:rPr>
        <w:t>采购包最高限价（元）: 10,500,000.00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马家沟生活垃圾处理场积存渗滤液处理服务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标的名称：马家沟生活垃圾处理场积存渗滤液处理服务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w:t>
            </w:r>
            <w:r>
              <w:rPr>
                <w:rFonts w:ascii="仿宋_GB2312" w:hAnsi="仿宋_GB2312" w:cs="仿宋_GB2312" w:eastAsia="仿宋_GB2312"/>
                <w:sz w:val="22"/>
                <w:b/>
              </w:rPr>
              <w:t>项目概况</w:t>
            </w:r>
          </w:p>
          <w:p>
            <w:pPr>
              <w:pStyle w:val="null3"/>
              <w:ind w:firstLine="440"/>
              <w:jc w:val="both"/>
            </w:pPr>
            <w:r>
              <w:rPr>
                <w:rFonts w:ascii="仿宋_GB2312" w:hAnsi="仿宋_GB2312" w:cs="仿宋_GB2312" w:eastAsia="仿宋_GB2312"/>
                <w:sz w:val="22"/>
              </w:rPr>
              <w:t>因马家沟生活垃圾填埋场堆体内积存渗滤液较多，堆体存在环境安全隐患。为确保垃圾场安全，计划在</w:t>
            </w:r>
            <w:r>
              <w:rPr>
                <w:rFonts w:ascii="仿宋_GB2312" w:hAnsi="仿宋_GB2312" w:cs="仿宋_GB2312" w:eastAsia="仿宋_GB2312"/>
                <w:sz w:val="22"/>
              </w:rPr>
              <w:t>180天内达标处理积存渗滤液5万余。</w:t>
            </w:r>
          </w:p>
          <w:p>
            <w:pPr>
              <w:pStyle w:val="null3"/>
              <w:ind w:firstLine="442"/>
              <w:jc w:val="both"/>
            </w:pPr>
            <w:r>
              <w:rPr>
                <w:rFonts w:ascii="仿宋_GB2312" w:hAnsi="仿宋_GB2312" w:cs="仿宋_GB2312" w:eastAsia="仿宋_GB2312"/>
                <w:sz w:val="22"/>
                <w:b/>
              </w:rPr>
              <w:t>二、服务内容</w:t>
            </w:r>
          </w:p>
          <w:p>
            <w:pPr>
              <w:pStyle w:val="null3"/>
              <w:ind w:firstLine="440"/>
              <w:jc w:val="both"/>
            </w:pPr>
            <w:r>
              <w:rPr>
                <w:rFonts w:ascii="仿宋_GB2312" w:hAnsi="仿宋_GB2312" w:cs="仿宋_GB2312" w:eastAsia="仿宋_GB2312"/>
                <w:sz w:val="22"/>
              </w:rPr>
              <w:t>对垃圾堆体内积存渗滤液进行处理及高密度聚乙烯</w:t>
            </w:r>
            <w:r>
              <w:rPr>
                <w:rFonts w:ascii="仿宋_GB2312" w:hAnsi="仿宋_GB2312" w:cs="仿宋_GB2312" w:eastAsia="仿宋_GB2312"/>
                <w:sz w:val="22"/>
              </w:rPr>
              <w:t>(HDPE)膜临时覆盖，日达标处理渗滤液出水量不小于300吨。</w:t>
            </w:r>
          </w:p>
          <w:p>
            <w:pPr>
              <w:pStyle w:val="null3"/>
              <w:ind w:firstLine="442"/>
              <w:jc w:val="both"/>
            </w:pPr>
            <w:r>
              <w:rPr>
                <w:rFonts w:ascii="仿宋_GB2312" w:hAnsi="仿宋_GB2312" w:cs="仿宋_GB2312" w:eastAsia="仿宋_GB2312"/>
                <w:sz w:val="22"/>
                <w:b/>
              </w:rPr>
              <w:t>三</w:t>
            </w:r>
            <w:r>
              <w:rPr>
                <w:rFonts w:ascii="仿宋_GB2312" w:hAnsi="仿宋_GB2312" w:cs="仿宋_GB2312" w:eastAsia="仿宋_GB2312"/>
                <w:sz w:val="22"/>
                <w:b/>
              </w:rPr>
              <w:t>、服务</w:t>
            </w:r>
            <w:r>
              <w:rPr>
                <w:rFonts w:ascii="仿宋_GB2312" w:hAnsi="仿宋_GB2312" w:cs="仿宋_GB2312" w:eastAsia="仿宋_GB2312"/>
                <w:sz w:val="22"/>
                <w:b/>
              </w:rPr>
              <w:t>具体要求</w:t>
            </w:r>
          </w:p>
          <w:p>
            <w:pPr>
              <w:pStyle w:val="null3"/>
              <w:ind w:firstLine="442"/>
              <w:jc w:val="both"/>
            </w:pPr>
            <w:r>
              <w:rPr>
                <w:rFonts w:ascii="仿宋_GB2312" w:hAnsi="仿宋_GB2312" w:cs="仿宋_GB2312" w:eastAsia="仿宋_GB2312"/>
                <w:sz w:val="22"/>
                <w:b/>
                <w:color w:val="993300"/>
              </w:rPr>
              <w:t>1.技术要求</w:t>
            </w:r>
          </w:p>
          <w:p>
            <w:pPr>
              <w:pStyle w:val="null3"/>
              <w:ind w:firstLine="440"/>
              <w:jc w:val="both"/>
            </w:pPr>
            <w:r>
              <w:rPr>
                <w:rFonts w:ascii="仿宋_GB2312" w:hAnsi="仿宋_GB2312" w:cs="仿宋_GB2312" w:eastAsia="仿宋_GB2312"/>
                <w:sz w:val="22"/>
                <w:color w:val="993300"/>
              </w:rPr>
              <w:t>（</w:t>
            </w:r>
            <w:r>
              <w:rPr>
                <w:rFonts w:ascii="仿宋_GB2312" w:hAnsi="仿宋_GB2312" w:cs="仿宋_GB2312" w:eastAsia="仿宋_GB2312"/>
                <w:sz w:val="22"/>
                <w:color w:val="993300"/>
              </w:rPr>
              <w:t>1）产水需符合环保要求，整机无污染，连续出水30天检测一次，如有需要，随时对产水进行检测。出水水质达到《生活垃圾填埋场污染控制标准》（GB16889-2024）,《陕西省黄河流域污水综合排放标准》(DB61/224-2018),《污水综合排放标准》(GB8978-1996)，排放至采购人指定的地点。</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 产水率及设备到场要求：处理出水率不得低于70%（处理出水率=出水量÷进水量×100%），运营费按实际出水量计算。供应商在签订合同后10个日历天内要完成自身处理设备的入场安装调试工作，由于停电及采购方的电气设备故障造成的延误不在此列。</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3）处理积存渗滤液5万余吨，出水总量暂定5.5万吨。</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4）处理量：渗滤液每日达标处理出水量不小于300吨。</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5）高密度聚乙烯(HDPE)膜临时覆盖，厚度0.75mm，约60000㎡。</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6）因渗滤液处理出水指标不符合排放限值要求造成的一切行政处罚责任及刑事责任均由中标方承担，给采购人造成的一切损失由供应商承担。</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7）采购人对供应商投入的设备进行检查考核，若发现其设备及服务技术不符合环保要求，系统存在隐患、破损、未运行、运行不符合实际情况等，将勒令供应商整改，如供应商不配合，采购人有权单方面解除合同。</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8）供应商渗滤液处理出水指标不符合排放限值要求3次，采购人有权单方面解除合同，不承担任何责任；同时采购人扣减供应商服务费3万元/次的罚款，供应商不得有任何异议。</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9）供应商拟投入的的处理设备需符合环保要求，整机无污染。出水水质由采购人委托有资质的第三方检测机构检测，需达到《生活垃圾填埋场污染控制标准》（GB16889-2024）,《陕西省黄河流域污水综合排放标准》(DB61/224-2018),《污水综合排放标准》(GB8978-1996)标准要求。</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1：进水水质指标要求</w:t>
            </w:r>
          </w:p>
          <w:tbl>
            <w:tblPr>
              <w:tblBorders>
                <w:top w:val="none" w:color="000000" w:sz="4"/>
                <w:left w:val="none" w:color="000000" w:sz="4"/>
                <w:bottom w:val="none" w:color="000000" w:sz="4"/>
                <w:right w:val="none" w:color="000000" w:sz="4"/>
                <w:insideH w:val="none"/>
                <w:insideV w:val="none"/>
              </w:tblBorders>
            </w:tblPr>
            <w:tblGrid>
              <w:gridCol w:w="389"/>
              <w:gridCol w:w="574"/>
              <w:gridCol w:w="574"/>
              <w:gridCol w:w="507"/>
              <w:gridCol w:w="508"/>
            </w:tblGrid>
            <w:tr>
              <w:tc>
                <w:tcPr>
                  <w:tcW w:type="dxa" w:w="38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序号</w:t>
                  </w:r>
                </w:p>
              </w:tc>
              <w:tc>
                <w:tcPr>
                  <w:tcW w:type="dxa" w:w="574"/>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项目名称</w:t>
                  </w:r>
                </w:p>
              </w:tc>
              <w:tc>
                <w:tcPr>
                  <w:tcW w:type="dxa" w:w="574"/>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单位</w:t>
                  </w:r>
                </w:p>
              </w:tc>
              <w:tc>
                <w:tcPr>
                  <w:tcW w:type="dxa" w:w="50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监测数据</w:t>
                  </w:r>
                </w:p>
              </w:tc>
              <w:tc>
                <w:tcPr>
                  <w:tcW w:type="dxa" w:w="508"/>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设计值</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COD</w:t>
                  </w:r>
                  <w:r>
                    <w:rPr>
                      <w:rFonts w:ascii="仿宋_GB2312" w:hAnsi="仿宋_GB2312" w:cs="仿宋_GB2312" w:eastAsia="仿宋_GB2312"/>
                      <w:sz w:val="24"/>
                      <w:vertAlign w:val="subscript"/>
                    </w:rPr>
                    <w:t>cr</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13300</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15000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BOD</w:t>
                  </w:r>
                  <w:r>
                    <w:rPr>
                      <w:rFonts w:ascii="仿宋_GB2312" w:hAnsi="仿宋_GB2312" w:cs="仿宋_GB2312" w:eastAsia="仿宋_GB2312"/>
                      <w:sz w:val="24"/>
                      <w:vertAlign w:val="subscript"/>
                    </w:rPr>
                    <w:t>5</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4560</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5000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氨氮</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1474</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1500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总氮</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2300</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2500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总磷</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15.5</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SS</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390</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色度</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倍</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3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含盐量</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g/L</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50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389"/>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57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pH</w:t>
                  </w:r>
                </w:p>
              </w:tc>
              <w:tc>
                <w:tcPr>
                  <w:tcW w:type="dxa" w:w="57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pPr>
                </w:p>
              </w:tc>
              <w:tc>
                <w:tcPr>
                  <w:tcW w:type="dxa" w:w="50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508"/>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6~9</w:t>
                  </w:r>
                </w:p>
              </w:tc>
            </w:tr>
          </w:tbl>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2：出水水质指标要求</w:t>
            </w:r>
          </w:p>
          <w:tbl>
            <w:tblPr>
              <w:tblBorders>
                <w:top w:val="none" w:color="000000" w:sz="4"/>
                <w:left w:val="none" w:color="000000" w:sz="4"/>
                <w:bottom w:val="none" w:color="000000" w:sz="4"/>
                <w:right w:val="none" w:color="000000" w:sz="4"/>
                <w:insideH w:val="none"/>
                <w:insideV w:val="none"/>
              </w:tblBorders>
            </w:tblPr>
            <w:tblGrid>
              <w:gridCol w:w="331"/>
              <w:gridCol w:w="1295"/>
              <w:gridCol w:w="926"/>
            </w:tblGrid>
            <w:tr>
              <w:tc>
                <w:tcPr>
                  <w:tcW w:type="dxa" w:w="331"/>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序号</w:t>
                  </w:r>
                </w:p>
              </w:tc>
              <w:tc>
                <w:tcPr>
                  <w:tcW w:type="dxa" w:w="1295"/>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控制污染物</w:t>
                  </w:r>
                </w:p>
              </w:tc>
              <w:tc>
                <w:tcPr>
                  <w:tcW w:type="dxa" w:w="926"/>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排放标准</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色度（稀释倍数）</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CODcr（mg/L)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BOD5（mg/L)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悬浮物（</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总氮（</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氨氮（</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总磷（</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粪大肠杆菌（个</w:t>
                  </w:r>
                  <w:r>
                    <w:rPr>
                      <w:rFonts w:ascii="仿宋_GB2312" w:hAnsi="仿宋_GB2312" w:cs="仿宋_GB2312" w:eastAsia="仿宋_GB2312"/>
                      <w:sz w:val="24"/>
                    </w:rPr>
                    <w:t>/L)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1000</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总汞（</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0.001</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总镉（</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0.01</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总铬（</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六价铬（</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0.05</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总砷（</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w:t>
                  </w:r>
                </w:p>
              </w:tc>
            </w:tr>
            <w:tr>
              <w:tc>
                <w:tcPr>
                  <w:tcW w:type="dxa" w:w="33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1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总铅（</w:t>
                  </w:r>
                  <w:r>
                    <w:rPr>
                      <w:rFonts w:ascii="仿宋_GB2312" w:hAnsi="仿宋_GB2312" w:cs="仿宋_GB2312" w:eastAsia="仿宋_GB2312"/>
                      <w:sz w:val="24"/>
                    </w:rPr>
                    <w:t>mg/L)</w:t>
                  </w:r>
                </w:p>
              </w:tc>
              <w:tc>
                <w:tcPr>
                  <w:tcW w:type="dxa" w:w="92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0.1</w:t>
                  </w:r>
                </w:p>
              </w:tc>
            </w:tr>
            <w:tr>
              <w:tc>
                <w:tcPr>
                  <w:tcW w:type="dxa" w:w="331"/>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1295"/>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pH</w:t>
                  </w:r>
                </w:p>
              </w:tc>
              <w:tc>
                <w:tcPr>
                  <w:tcW w:type="dxa" w:w="926"/>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6-9</w:t>
                  </w:r>
                </w:p>
              </w:tc>
            </w:tr>
          </w:tbl>
          <w:p>
            <w:pPr>
              <w:pStyle w:val="null3"/>
              <w:ind w:firstLine="442"/>
              <w:jc w:val="both"/>
            </w:pPr>
            <w:r>
              <w:rPr>
                <w:rFonts w:ascii="仿宋_GB2312" w:hAnsi="仿宋_GB2312" w:cs="仿宋_GB2312" w:eastAsia="仿宋_GB2312"/>
                <w:sz w:val="22"/>
                <w:b/>
                <w:color w:val="993300"/>
              </w:rPr>
              <w:t>2.渗滤液处理系统运行要求</w:t>
            </w:r>
          </w:p>
          <w:p>
            <w:pPr>
              <w:pStyle w:val="null3"/>
              <w:ind w:firstLine="440"/>
              <w:jc w:val="both"/>
            </w:pPr>
            <w:r>
              <w:rPr>
                <w:rFonts w:ascii="仿宋_GB2312" w:hAnsi="仿宋_GB2312" w:cs="仿宋_GB2312" w:eastAsia="仿宋_GB2312"/>
                <w:sz w:val="22"/>
                <w:color w:val="993300"/>
              </w:rPr>
              <w:t>2.1在整个运维期间内设备处理量不低于设计的70%（按月度考核），同时确保运营期内处理出水水质满足《生活垃圾填埋场污染控制标准》（GB16889-2024）要求。</w:t>
            </w:r>
          </w:p>
          <w:p>
            <w:pPr>
              <w:pStyle w:val="null3"/>
              <w:ind w:firstLine="440"/>
              <w:jc w:val="both"/>
            </w:pPr>
            <w:r>
              <w:rPr>
                <w:rFonts w:ascii="仿宋_GB2312" w:hAnsi="仿宋_GB2312" w:cs="仿宋_GB2312" w:eastAsia="仿宋_GB2312"/>
                <w:sz w:val="22"/>
                <w:color w:val="993300"/>
              </w:rPr>
              <w:t>2.2在整个运维期内供应商应自行承担费用和风险，负责垃圾渗滤液场站的运行、管理、安全、消防、环保等工作，并配合相关监管部门的监督检查，使本项目处于良好的运营状态并能够安全、稳定处理渗滤液，达到出水水质标准。</w:t>
            </w:r>
          </w:p>
          <w:p>
            <w:pPr>
              <w:pStyle w:val="null3"/>
              <w:ind w:firstLine="440"/>
              <w:jc w:val="both"/>
            </w:pPr>
            <w:r>
              <w:rPr>
                <w:rFonts w:ascii="仿宋_GB2312" w:hAnsi="仿宋_GB2312" w:cs="仿宋_GB2312" w:eastAsia="仿宋_GB2312"/>
                <w:sz w:val="22"/>
                <w:color w:val="993300"/>
              </w:rPr>
              <w:t>2.3供应商应自行检测与记录当日的进、出水指标，并定期上报给采购人。</w:t>
            </w:r>
          </w:p>
          <w:p>
            <w:pPr>
              <w:pStyle w:val="null3"/>
              <w:ind w:firstLine="440"/>
              <w:jc w:val="both"/>
            </w:pPr>
            <w:r>
              <w:rPr>
                <w:rFonts w:ascii="仿宋_GB2312" w:hAnsi="仿宋_GB2312" w:cs="仿宋_GB2312" w:eastAsia="仿宋_GB2312"/>
                <w:sz w:val="22"/>
                <w:color w:val="993300"/>
              </w:rPr>
              <w:t>2.4 供应商应使本项目场区保持在良好、干净、整齐及清洁的状况，包括实施必须的修理、购买及保存本项目必需的替换设备或零件，并保存适当库存量的零件与设备，清除和处理维修所产生的废料。</w:t>
            </w:r>
          </w:p>
          <w:p>
            <w:pPr>
              <w:pStyle w:val="null3"/>
              <w:ind w:firstLine="440"/>
              <w:jc w:val="both"/>
            </w:pPr>
            <w:r>
              <w:rPr>
                <w:rFonts w:ascii="仿宋_GB2312" w:hAnsi="仿宋_GB2312" w:cs="仿宋_GB2312" w:eastAsia="仿宋_GB2312"/>
                <w:sz w:val="22"/>
                <w:color w:val="993300"/>
              </w:rPr>
              <w:t>2.5供应商上岗操作人员必须能掌握设备使用性能及正确的操作方法。</w:t>
            </w:r>
          </w:p>
          <w:p>
            <w:pPr>
              <w:pStyle w:val="null3"/>
              <w:ind w:firstLine="440"/>
              <w:jc w:val="both"/>
            </w:pPr>
            <w:r>
              <w:rPr>
                <w:rFonts w:ascii="仿宋_GB2312" w:hAnsi="仿宋_GB2312" w:cs="仿宋_GB2312" w:eastAsia="仿宋_GB2312"/>
                <w:sz w:val="22"/>
                <w:color w:val="993300"/>
              </w:rPr>
              <w:t>2.6 采购人可自行对供应商日常运营管理进行监督检查，供应商不得以任何借口阻扰正常的监督检查。</w:t>
            </w:r>
          </w:p>
          <w:p>
            <w:pPr>
              <w:pStyle w:val="null3"/>
              <w:ind w:firstLine="440"/>
              <w:jc w:val="both"/>
            </w:pPr>
            <w:r>
              <w:rPr>
                <w:rFonts w:ascii="仿宋_GB2312" w:hAnsi="仿宋_GB2312" w:cs="仿宋_GB2312" w:eastAsia="仿宋_GB2312"/>
                <w:sz w:val="22"/>
                <w:color w:val="993300"/>
              </w:rPr>
              <w:t>2.7渗滤液处理厂渗滤液处理包含药剂、日常维修、所有配件的更换、现场管理及保洁等人员工资、办公耗材、水电费、输送管线的维修、维护、巡检等相关费用，整个运维期费用由供应商承担。</w:t>
            </w:r>
          </w:p>
          <w:p>
            <w:pPr>
              <w:pStyle w:val="null3"/>
              <w:ind w:firstLine="442"/>
              <w:jc w:val="both"/>
            </w:pPr>
            <w:r>
              <w:rPr>
                <w:rFonts w:ascii="仿宋_GB2312" w:hAnsi="仿宋_GB2312" w:cs="仿宋_GB2312" w:eastAsia="仿宋_GB2312"/>
                <w:sz w:val="22"/>
                <w:b/>
              </w:rPr>
              <w:t>四、服务质量标准</w:t>
            </w:r>
          </w:p>
          <w:p>
            <w:pPr>
              <w:pStyle w:val="null3"/>
              <w:jc w:val="both"/>
              <w:outlineLvl w:val="3"/>
            </w:pPr>
            <w:r>
              <w:rPr>
                <w:rFonts w:ascii="仿宋_GB2312" w:hAnsi="仿宋_GB2312" w:cs="仿宋_GB2312" w:eastAsia="仿宋_GB2312"/>
                <w:sz w:val="22"/>
                <w:b/>
              </w:rPr>
              <w:t>供应商提供的服务标准满足《生活垃圾填埋场污染控制标准》（</w:t>
            </w:r>
            <w:r>
              <w:rPr>
                <w:rFonts w:ascii="仿宋_GB2312" w:hAnsi="仿宋_GB2312" w:cs="仿宋_GB2312" w:eastAsia="仿宋_GB2312"/>
                <w:sz w:val="22"/>
                <w:b/>
              </w:rPr>
              <w:t>GB16889-2024）、《陕西省黄河流域污水综合排放标准》(DB61/224-2018)及国家、行业相关标准要求。</w:t>
            </w:r>
          </w:p>
          <w:p>
            <w:pPr>
              <w:pStyle w:val="null3"/>
              <w:jc w:val="both"/>
              <w:outlineLvl w:val="3"/>
            </w:pPr>
            <w:r>
              <w:rPr>
                <w:rFonts w:ascii="仿宋_GB2312" w:hAnsi="仿宋_GB2312" w:cs="仿宋_GB2312" w:eastAsia="仿宋_GB2312"/>
                <w:sz w:val="22"/>
                <w:b/>
              </w:rPr>
              <w:t>五</w:t>
            </w:r>
            <w:r>
              <w:rPr>
                <w:rFonts w:ascii="仿宋_GB2312" w:hAnsi="仿宋_GB2312" w:cs="仿宋_GB2312" w:eastAsia="仿宋_GB2312"/>
                <w:sz w:val="22"/>
                <w:b/>
              </w:rPr>
              <w:t>、</w:t>
            </w:r>
            <w:r>
              <w:rPr>
                <w:rFonts w:ascii="仿宋_GB2312" w:hAnsi="仿宋_GB2312" w:cs="仿宋_GB2312" w:eastAsia="仿宋_GB2312"/>
                <w:sz w:val="22"/>
                <w:b/>
              </w:rPr>
              <w:t>项目实施</w:t>
            </w:r>
            <w:r>
              <w:rPr>
                <w:rFonts w:ascii="仿宋_GB2312" w:hAnsi="仿宋_GB2312" w:cs="仿宋_GB2312" w:eastAsia="仿宋_GB2312"/>
                <w:sz w:val="22"/>
                <w:b/>
              </w:rPr>
              <w:t>要求</w:t>
            </w:r>
          </w:p>
          <w:p>
            <w:pPr>
              <w:pStyle w:val="null3"/>
              <w:ind w:firstLine="442"/>
              <w:jc w:val="both"/>
            </w:pPr>
            <w:r>
              <w:rPr>
                <w:rFonts w:ascii="仿宋_GB2312" w:hAnsi="仿宋_GB2312" w:cs="仿宋_GB2312" w:eastAsia="仿宋_GB2312"/>
                <w:sz w:val="22"/>
                <w:b/>
              </w:rPr>
              <w:t>（一）组织保障</w:t>
            </w:r>
          </w:p>
          <w:p>
            <w:pPr>
              <w:pStyle w:val="null3"/>
              <w:ind w:firstLine="440"/>
              <w:jc w:val="both"/>
            </w:pPr>
            <w:r>
              <w:rPr>
                <w:rFonts w:ascii="仿宋_GB2312" w:hAnsi="仿宋_GB2312" w:cs="仿宋_GB2312" w:eastAsia="仿宋_GB2312"/>
                <w:sz w:val="22"/>
              </w:rPr>
              <w:t>1、中标单位中标后2个工作日内，向采购单位提供技术服务方案。</w:t>
            </w:r>
          </w:p>
          <w:p>
            <w:pPr>
              <w:pStyle w:val="null3"/>
              <w:ind w:firstLine="440"/>
              <w:jc w:val="both"/>
            </w:pPr>
            <w:r>
              <w:rPr>
                <w:rFonts w:ascii="仿宋_GB2312" w:hAnsi="仿宋_GB2312" w:cs="仿宋_GB2312" w:eastAsia="仿宋_GB2312"/>
                <w:sz w:val="22"/>
              </w:rPr>
              <w:t>2、根据工作方案安排，中标单位中标后2个工作日内成立项目组织机构，机构各小组应职责明确、分工合理，任务安排到位。整个团队运作高效，对采购单位提出的工作要求，在不晚于3个工作日内作出积极正面响应。</w:t>
            </w:r>
          </w:p>
          <w:p>
            <w:pPr>
              <w:pStyle w:val="null3"/>
              <w:ind w:firstLine="440"/>
              <w:jc w:val="both"/>
            </w:pPr>
            <w:r>
              <w:rPr>
                <w:rFonts w:ascii="仿宋_GB2312" w:hAnsi="仿宋_GB2312" w:cs="仿宋_GB2312" w:eastAsia="仿宋_GB2312"/>
                <w:sz w:val="22"/>
              </w:rPr>
              <w:t>3、保证项目提交资料的齐全性，完整性。</w:t>
            </w:r>
          </w:p>
          <w:p>
            <w:pPr>
              <w:pStyle w:val="null3"/>
              <w:ind w:firstLine="442"/>
              <w:jc w:val="both"/>
            </w:pPr>
            <w:r>
              <w:rPr>
                <w:rFonts w:ascii="仿宋_GB2312" w:hAnsi="仿宋_GB2312" w:cs="仿宋_GB2312" w:eastAsia="仿宋_GB2312"/>
                <w:sz w:val="22"/>
                <w:b/>
              </w:rPr>
              <w:t>（二）服务实施其他要求</w:t>
            </w:r>
          </w:p>
          <w:p>
            <w:pPr>
              <w:pStyle w:val="null3"/>
              <w:ind w:firstLine="440"/>
              <w:jc w:val="both"/>
            </w:pPr>
            <w:r>
              <w:rPr>
                <w:rFonts w:ascii="仿宋_GB2312" w:hAnsi="仿宋_GB2312" w:cs="仿宋_GB2312" w:eastAsia="仿宋_GB2312"/>
                <w:sz w:val="22"/>
              </w:rPr>
              <w:t>1、供应商应建立应急管理制度，响应时间≦2小时，有效应对渗滤液处理过程中可能出现的各类突发情况，如设备故障、水质异常、自然灾害等，最大程度减少对周边环境和公众健康的影响。生活垃圾卫生填埋场渗滤液处理工作关系到当地生态环境安全，一旦发生突发事件，可能导致渗滤液泄漏等问题，因此要确保在突发事件发生时能迅速响应，控制事态发展。</w:t>
            </w:r>
          </w:p>
          <w:p>
            <w:pPr>
              <w:pStyle w:val="null3"/>
              <w:ind w:firstLine="440"/>
              <w:jc w:val="both"/>
            </w:pPr>
            <w:r>
              <w:rPr>
                <w:rFonts w:ascii="仿宋_GB2312" w:hAnsi="仿宋_GB2312" w:cs="仿宋_GB2312" w:eastAsia="仿宋_GB2312"/>
                <w:sz w:val="22"/>
              </w:rPr>
              <w:t>2、关系协调：由供应商自行协调与当地群众的关系，供应商必须无条件配合环保部门 的督查和上级部门监管。如因供应商超标排放或偷排造成的一切行政处罚及刑事责任由供应商负责。</w:t>
            </w:r>
          </w:p>
          <w:p>
            <w:pPr>
              <w:pStyle w:val="null3"/>
              <w:ind w:firstLine="440"/>
              <w:jc w:val="both"/>
            </w:pPr>
            <w:r>
              <w:rPr>
                <w:rFonts w:ascii="仿宋_GB2312" w:hAnsi="仿宋_GB2312" w:cs="仿宋_GB2312" w:eastAsia="仿宋_GB2312"/>
                <w:sz w:val="22"/>
              </w:rPr>
              <w:t>3、供应商应自行检测且记录当日的渗滤液进水、出水量以及指标、耗电量、自来水消耗量、添加药品明细、膜浓缩液与剩余污泥去向及量，设备运行及检修情况记录，并按照采购人要求定期上报给采购人。</w:t>
            </w:r>
          </w:p>
          <w:p>
            <w:pPr>
              <w:pStyle w:val="null3"/>
              <w:ind w:firstLine="440"/>
              <w:jc w:val="both"/>
            </w:pPr>
            <w:r>
              <w:rPr>
                <w:rFonts w:ascii="仿宋_GB2312" w:hAnsi="仿宋_GB2312" w:cs="仿宋_GB2312" w:eastAsia="仿宋_GB2312"/>
                <w:sz w:val="22"/>
              </w:rPr>
              <w:t>4、供应商在服务期间，必须严格遵守相关的规章制度，确保运行正常，污水处理排放符合标准。供应商必须安排足够的工作人员，并建立相应的排班制度，保持通讯渠道畅通，设立专门应急队伍，负责运行期间突发事件的处理，确保及时到位。</w:t>
            </w:r>
          </w:p>
          <w:p>
            <w:pPr>
              <w:pStyle w:val="null3"/>
              <w:ind w:firstLine="440"/>
              <w:jc w:val="both"/>
            </w:pPr>
            <w:r>
              <w:rPr>
                <w:rFonts w:ascii="仿宋_GB2312" w:hAnsi="仿宋_GB2312" w:cs="仿宋_GB2312" w:eastAsia="仿宋_GB2312"/>
                <w:sz w:val="22"/>
              </w:rPr>
              <w:t>5.供应商要全力配合采购人做好各类上级检查督查工作。在上级检查中，因中标单位渗滤液处理方面的原因导致检查未予通过或受到相关处罚的，由中标单位承担由此对采购人产生的损失，同时采购人可以解除合同。</w:t>
            </w:r>
          </w:p>
          <w:p>
            <w:pPr>
              <w:pStyle w:val="null3"/>
              <w:ind w:firstLine="440"/>
              <w:jc w:val="both"/>
            </w:pPr>
            <w:r>
              <w:rPr>
                <w:rFonts w:ascii="仿宋_GB2312" w:hAnsi="仿宋_GB2312" w:cs="仿宋_GB2312" w:eastAsia="仿宋_GB2312"/>
                <w:sz w:val="22"/>
              </w:rPr>
              <w:t>6.供应商在提供服务期间，必须严格按处理站设备操作规程、安全操作规程进行操作，确保出水达到规定排放标准，并保证人身安全。</w:t>
            </w:r>
          </w:p>
          <w:p>
            <w:pPr>
              <w:pStyle w:val="null3"/>
              <w:ind w:firstLine="440"/>
              <w:jc w:val="both"/>
            </w:pPr>
            <w:r>
              <w:rPr>
                <w:rFonts w:ascii="仿宋_GB2312" w:hAnsi="仿宋_GB2312" w:cs="仿宋_GB2312" w:eastAsia="仿宋_GB2312"/>
                <w:sz w:val="22"/>
              </w:rPr>
              <w:t>7.</w:t>
            </w:r>
            <w:r>
              <w:rPr>
                <w:rFonts w:ascii="仿宋_GB2312" w:hAnsi="仿宋_GB2312" w:cs="仿宋_GB2312" w:eastAsia="仿宋_GB2312"/>
                <w:sz w:val="22"/>
              </w:rPr>
              <w:t>出</w:t>
            </w:r>
            <w:r>
              <w:rPr>
                <w:rFonts w:ascii="仿宋_GB2312" w:hAnsi="仿宋_GB2312" w:cs="仿宋_GB2312" w:eastAsia="仿宋_GB2312"/>
                <w:sz w:val="22"/>
              </w:rPr>
              <w:t>水水质经采购人和供应商双方认可且有资质的第三方检测机构检测达标后（检测相关费用含在投标报价中），再由采购人进行验收。</w:t>
            </w:r>
          </w:p>
          <w:p>
            <w:pPr>
              <w:pStyle w:val="null3"/>
              <w:ind w:firstLine="442"/>
              <w:jc w:val="both"/>
            </w:pPr>
            <w:r>
              <w:rPr>
                <w:rFonts w:ascii="仿宋_GB2312" w:hAnsi="仿宋_GB2312" w:cs="仿宋_GB2312" w:eastAsia="仿宋_GB2312"/>
              </w:rPr>
              <w:t>六、报价要求</w:t>
            </w:r>
          </w:p>
          <w:p>
            <w:pPr>
              <w:pStyle w:val="null3"/>
              <w:ind w:firstLine="442"/>
              <w:jc w:val="both"/>
            </w:pPr>
            <w:r>
              <w:rPr>
                <w:rFonts w:ascii="仿宋_GB2312" w:hAnsi="仿宋_GB2312" w:cs="仿宋_GB2312" w:eastAsia="仿宋_GB2312"/>
              </w:rPr>
              <w:t>1.总价最高限价：1050.00万元；单价最高限价：</w:t>
            </w:r>
            <w:r>
              <w:rPr>
                <w:rFonts w:ascii="仿宋_GB2312" w:hAnsi="仿宋_GB2312" w:cs="仿宋_GB2312" w:eastAsia="仿宋_GB2312"/>
                <w:sz w:val="21"/>
              </w:rPr>
              <w:t>渗滤液处理：176.00元/吨（出水量）；膜覆盖：13.66元/㎡</w:t>
            </w:r>
          </w:p>
          <w:p>
            <w:pPr>
              <w:pStyle w:val="null3"/>
              <w:ind w:firstLine="442"/>
              <w:jc w:val="both"/>
            </w:pPr>
            <w:r>
              <w:rPr>
                <w:rFonts w:ascii="仿宋_GB2312" w:hAnsi="仿宋_GB2312" w:cs="仿宋_GB2312" w:eastAsia="仿宋_GB2312"/>
              </w:rPr>
              <w:t>2.供应商报价为单价和总价报价，报价不能超过单价和总价最高限价，否则为无效报价。</w:t>
            </w:r>
          </w:p>
          <w:p>
            <w:pPr>
              <w:pStyle w:val="null3"/>
              <w:ind w:firstLine="442"/>
              <w:jc w:val="both"/>
            </w:pPr>
            <w:r>
              <w:rPr>
                <w:rFonts w:ascii="仿宋_GB2312" w:hAnsi="仿宋_GB2312" w:cs="仿宋_GB2312" w:eastAsia="仿宋_GB2312"/>
                <w:sz w:val="22"/>
                <w:b/>
              </w:rPr>
              <w:t>七、</w:t>
            </w:r>
            <w:r>
              <w:rPr>
                <w:rFonts w:ascii="仿宋_GB2312" w:hAnsi="仿宋_GB2312" w:cs="仿宋_GB2312" w:eastAsia="仿宋_GB2312"/>
                <w:sz w:val="22"/>
                <w:b/>
              </w:rPr>
              <w:t>验收</w:t>
            </w:r>
          </w:p>
          <w:p>
            <w:pPr>
              <w:pStyle w:val="null3"/>
              <w:ind w:firstLine="442"/>
              <w:jc w:val="both"/>
            </w:pPr>
            <w:r>
              <w:rPr>
                <w:rFonts w:ascii="仿宋_GB2312" w:hAnsi="仿宋_GB2312" w:cs="仿宋_GB2312" w:eastAsia="仿宋_GB2312"/>
                <w:sz w:val="22"/>
                <w:b/>
              </w:rPr>
              <w:t>1.项目验收</w:t>
            </w:r>
          </w:p>
          <w:p>
            <w:pPr>
              <w:pStyle w:val="null3"/>
              <w:ind w:firstLine="440"/>
              <w:jc w:val="both"/>
            </w:pPr>
            <w:r>
              <w:rPr>
                <w:rFonts w:ascii="仿宋_GB2312" w:hAnsi="仿宋_GB2312" w:cs="仿宋_GB2312" w:eastAsia="仿宋_GB2312"/>
                <w:sz w:val="22"/>
              </w:rPr>
              <w:t>服务完成后，采购人根据服务内容、服务要求、服务标准进行</w:t>
            </w:r>
            <w:r>
              <w:rPr>
                <w:rFonts w:ascii="仿宋_GB2312" w:hAnsi="仿宋_GB2312" w:cs="仿宋_GB2312" w:eastAsia="仿宋_GB2312"/>
                <w:sz w:val="22"/>
              </w:rPr>
              <w:t>验收，</w:t>
            </w:r>
            <w:r>
              <w:rPr>
                <w:rFonts w:ascii="仿宋_GB2312" w:hAnsi="仿宋_GB2312" w:cs="仿宋_GB2312" w:eastAsia="仿宋_GB2312"/>
                <w:sz w:val="22"/>
              </w:rPr>
              <w:t>合格后签发《终验合格单》。</w:t>
            </w:r>
            <w:r>
              <w:rPr>
                <w:rFonts w:ascii="仿宋_GB2312" w:hAnsi="仿宋_GB2312" w:cs="仿宋_GB2312" w:eastAsia="仿宋_GB2312"/>
                <w:sz w:val="22"/>
              </w:rPr>
              <w:t xml:space="preserve">    </w:t>
            </w:r>
          </w:p>
          <w:p>
            <w:pPr>
              <w:pStyle w:val="null3"/>
              <w:ind w:firstLine="440"/>
              <w:jc w:val="both"/>
            </w:pPr>
            <w:r>
              <w:rPr>
                <w:rFonts w:ascii="仿宋_GB2312" w:hAnsi="仿宋_GB2312" w:cs="仿宋_GB2312" w:eastAsia="仿宋_GB2312"/>
                <w:sz w:val="22"/>
              </w:rPr>
              <w:t>验收不合格的供应商，必须在接到通知后</w:t>
            </w:r>
            <w:r>
              <w:rPr>
                <w:rFonts w:ascii="仿宋_GB2312" w:hAnsi="仿宋_GB2312" w:cs="仿宋_GB2312" w:eastAsia="仿宋_GB2312"/>
                <w:sz w:val="22"/>
              </w:rPr>
              <w:t>7个日历日内确保服务通过验收。如接到通知后7个日历日内验收仍不合格，采购人可提出索赔或取消其供货合同。</w:t>
            </w:r>
          </w:p>
          <w:p>
            <w:pPr>
              <w:pStyle w:val="null3"/>
              <w:ind w:firstLine="442"/>
              <w:jc w:val="both"/>
            </w:pPr>
            <w:r>
              <w:rPr>
                <w:rFonts w:ascii="仿宋_GB2312" w:hAnsi="仿宋_GB2312" w:cs="仿宋_GB2312" w:eastAsia="仿宋_GB2312"/>
                <w:sz w:val="22"/>
                <w:b/>
              </w:rPr>
              <w:t>2.验收依据</w:t>
            </w:r>
          </w:p>
          <w:p>
            <w:pPr>
              <w:pStyle w:val="null3"/>
              <w:ind w:firstLine="440"/>
              <w:jc w:val="both"/>
            </w:pPr>
            <w:r>
              <w:rPr>
                <w:rFonts w:ascii="仿宋_GB2312" w:hAnsi="仿宋_GB2312" w:cs="仿宋_GB2312" w:eastAsia="仿宋_GB2312"/>
                <w:sz w:val="22"/>
              </w:rPr>
              <w:t>2.2.1合同文本及合同补充文件（条款）；</w:t>
            </w:r>
          </w:p>
          <w:p>
            <w:pPr>
              <w:pStyle w:val="null3"/>
              <w:ind w:firstLine="440"/>
              <w:jc w:val="both"/>
            </w:pPr>
            <w:r>
              <w:rPr>
                <w:rFonts w:ascii="仿宋_GB2312" w:hAnsi="仿宋_GB2312" w:cs="仿宋_GB2312" w:eastAsia="仿宋_GB2312"/>
                <w:sz w:val="22"/>
              </w:rPr>
              <w:t>2.2.2服务的证明文件、佐证材料；</w:t>
            </w:r>
          </w:p>
          <w:p>
            <w:pPr>
              <w:pStyle w:val="null3"/>
              <w:ind w:firstLine="440"/>
              <w:jc w:val="both"/>
            </w:pPr>
            <w:r>
              <w:rPr>
                <w:rFonts w:ascii="仿宋_GB2312" w:hAnsi="仿宋_GB2312" w:cs="仿宋_GB2312" w:eastAsia="仿宋_GB2312"/>
                <w:sz w:val="22"/>
              </w:rPr>
              <w:t>2.2.3采购文件；</w:t>
            </w:r>
          </w:p>
          <w:p>
            <w:pPr>
              <w:pStyle w:val="null3"/>
              <w:ind w:firstLine="440"/>
              <w:jc w:val="both"/>
            </w:pPr>
            <w:r>
              <w:rPr>
                <w:rFonts w:ascii="仿宋_GB2312" w:hAnsi="仿宋_GB2312" w:cs="仿宋_GB2312" w:eastAsia="仿宋_GB2312"/>
                <w:sz w:val="22"/>
              </w:rPr>
              <w:t>2.2.4供应商的响应文件；</w:t>
            </w:r>
          </w:p>
          <w:p>
            <w:pPr>
              <w:pStyle w:val="null3"/>
              <w:ind w:firstLine="440"/>
              <w:jc w:val="both"/>
            </w:pPr>
            <w:r>
              <w:rPr>
                <w:rFonts w:ascii="仿宋_GB2312" w:hAnsi="仿宋_GB2312" w:cs="仿宋_GB2312" w:eastAsia="仿宋_GB2312"/>
                <w:sz w:val="22"/>
              </w:rPr>
              <w:t>2.2.5服务内容。</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验收标准</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质量标准：符合国家规范标准要求及采购人要求。</w:t>
            </w:r>
          </w:p>
          <w:p>
            <w:pPr>
              <w:pStyle w:val="null3"/>
              <w:jc w:val="both"/>
              <w:outlineLvl w:val="3"/>
            </w:pPr>
            <w:r>
              <w:rPr>
                <w:rFonts w:ascii="仿宋_GB2312" w:hAnsi="仿宋_GB2312" w:cs="仿宋_GB2312" w:eastAsia="仿宋_GB2312"/>
                <w:sz w:val="21"/>
                <w:b/>
              </w:rPr>
              <w:t>3.2</w:t>
            </w:r>
            <w:r>
              <w:rPr>
                <w:rFonts w:ascii="仿宋_GB2312" w:hAnsi="仿宋_GB2312" w:cs="仿宋_GB2312" w:eastAsia="仿宋_GB2312"/>
                <w:sz w:val="21"/>
                <w:b/>
              </w:rPr>
              <w:t>资料验收</w:t>
            </w:r>
            <w:r>
              <w:rPr>
                <w:rFonts w:ascii="仿宋_GB2312" w:hAnsi="仿宋_GB2312" w:cs="仿宋_GB2312" w:eastAsia="仿宋_GB2312"/>
                <w:sz w:val="21"/>
                <w:b/>
              </w:rPr>
              <w:t>:核查资料完整性,包含处置方案、合同、运行日志、水质监测报告、危废转移联单、设备合格证等。</w:t>
            </w:r>
          </w:p>
          <w:p>
            <w:pPr>
              <w:pStyle w:val="null3"/>
              <w:jc w:val="both"/>
              <w:outlineLvl w:val="3"/>
            </w:pPr>
            <w:r>
              <w:rPr>
                <w:rFonts w:ascii="仿宋_GB2312" w:hAnsi="仿宋_GB2312" w:cs="仿宋_GB2312" w:eastAsia="仿宋_GB2312"/>
                <w:sz w:val="21"/>
                <w:b/>
              </w:rPr>
              <w:t xml:space="preserve">3.3 </w:t>
            </w:r>
            <w:r>
              <w:rPr>
                <w:rFonts w:ascii="仿宋_GB2312" w:hAnsi="仿宋_GB2312" w:cs="仿宋_GB2312" w:eastAsia="仿宋_GB2312"/>
                <w:sz w:val="21"/>
                <w:b/>
              </w:rPr>
              <w:t>本项目由采购人及相关部门定期对项目进行阶段性验收。</w:t>
            </w:r>
          </w:p>
          <w:p>
            <w:pPr>
              <w:pStyle w:val="null3"/>
              <w:jc w:val="both"/>
              <w:outlineLvl w:val="3"/>
            </w:pPr>
            <w:r>
              <w:rPr>
                <w:rFonts w:ascii="仿宋_GB2312" w:hAnsi="仿宋_GB2312" w:cs="仿宋_GB2312" w:eastAsia="仿宋_GB2312"/>
                <w:sz w:val="21"/>
                <w:b/>
              </w:rPr>
              <w:t>说明：以上内容不得负偏离，否则按无效投标处理。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人员配备结构合理、岗位职责明确，满足项目实施要求。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拟投入的设备满足项目实施要求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1.在服务范围内按工作内容和要求制定详细的方案，方案科学、合理、可靠。 2.人员配备合理。有针对本项目的专项服务小组，项目负责人、工作人员分工明确（应有具体成员名单，包括姓名、工作职责等） 3.有各类突发事件的应急预案和措施，有明确具体的承诺。 4.中标人所拟派的工作人员，在服务期间发生任何伤害，采购人概不负责，由中标人自行处理。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渭南市临渭区向阳街道上孟村马家沟生活垃圾填埋场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1.质量标准：符合国家规范标准要求及采购人要求。 2.供应商在提供服务期间，必须严格按处理站设备操作规程、安全操作规程进行操作，确保出水达到规定排放标准，并保证人身安全。 3.资料验收:核查资料完整性,包含处置方案、合同、运行日志、水质监测报告、危废转移联单、设备合格证等。 4.本项目由采购人及相关部门定期对项目进行阶段性验收。 5.出水水质经采购人和供应商双方认可且有资质的第三方检测机构检测达标后（检测相关费用含在投标报价中），再由采购人进行验收。 6.验收标准：按招标文件、投标文件及澄清函、项目检查情况等综合指标进行验收。各项指标均应符合验收标准及要求。 7.中标单位要全力配合采购人做好各类上级检查督查工作。在上级检查中，因中标单位渗滤液处理方面的原因导致检查未予通过或受到相关处罚的，由中标单位承担由此对采购人产生的损失，同时采购人可以解除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本项目服务费依据实际完成工作内容按月据实结算。 渗滤液处理：达标出水量据实结算（流量表由相关部门验收合格出具证明为准），最终结算价=中标单价*实际达标出水量。 膜覆盖：根据实际完成膜覆盖的面积据实结算，最终结算价=中标单价*膜覆盖面积。</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2.若未能在服务期内完成合同规定的义务，由此对采购人造成的延误和一切损失，由供应商承担和赔偿。 3.其他未尽事宜，按《中华人民共和国民法典》中的相关条款执行。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一、中标供应商在中标结果公告发布后3个工作日内提供叁套纸质投标文件（经编标工具生成的文件直接打印并加盖公章），递交的纸质版文件内容确保与线上电子文件保持一致，不允许修改和补充。 二、关于印发中小企业划型标准规定的通知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 三、根据《政府采购法实施条例》释义，银行、保险、石油石化、电力、电信等有行业特殊情况的，允许法人的分支机构参加政府采购活动。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投标人应具有独立承担民事责任能力的企业法人</w:t>
            </w:r>
          </w:p>
        </w:tc>
        <w:tc>
          <w:tcPr>
            <w:tcW w:type="dxa" w:w="3322"/>
          </w:tcPr>
          <w:p>
            <w:pPr>
              <w:pStyle w:val="null3"/>
            </w:pPr>
            <w:r>
              <w:rPr>
                <w:rFonts w:ascii="仿宋_GB2312" w:hAnsi="仿宋_GB2312" w:cs="仿宋_GB2312" w:eastAsia="仿宋_GB2312"/>
              </w:rPr>
              <w:t>企业法人应提供统一社会信用代码的营业执照等证明材料。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具有良好的商业信誉和健全的财务会计制度以及有依法缴纳税收和社会保障资金的良好记录（提供相关证明材料或承诺）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法定代表人参与投标时需提供法定代表人身份证明书（附法定代表人身份证复印件）；被授权人参与投标时需提供法定代表人授权委托书及法定代表人身份证明书（附法定代表人及被授权人身份证复印件）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投标人其它资料.docx 分项报价表.docx 投标函 残疾人福利性单位声明函 服务方案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（一）评审内容：①拟投入设备证明材料及工艺方案；②运行管理方案；③出水水质保障能力方案；④进水水质适配性；⑤设备维护方案。 （二）评审标准：每一条评审内容无缺陷得4分，满分20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（一）评审内容：①服务质量保障体系；②质量管控要求；③质量控制措施；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运行管理方案</w:t>
            </w:r>
          </w:p>
        </w:tc>
        <w:tc>
          <w:tcPr>
            <w:tcW w:type="dxa" w:w="2492"/>
          </w:tcPr>
          <w:p>
            <w:pPr>
              <w:pStyle w:val="null3"/>
            </w:pPr>
            <w:r>
              <w:rPr>
                <w:rFonts w:ascii="仿宋_GB2312" w:hAnsi="仿宋_GB2312" w:cs="仿宋_GB2312" w:eastAsia="仿宋_GB2312"/>
              </w:rPr>
              <w:t>（一）评审内容：①渗滤液处理系统运行方案；②运行过程中合理使用药剂存储方案；③安全管理方案；④环保管理方案。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组织保障措施</w:t>
            </w:r>
          </w:p>
        </w:tc>
        <w:tc>
          <w:tcPr>
            <w:tcW w:type="dxa" w:w="2492"/>
          </w:tcPr>
          <w:p>
            <w:pPr>
              <w:pStyle w:val="null3"/>
            </w:pPr>
            <w:r>
              <w:rPr>
                <w:rFonts w:ascii="仿宋_GB2312" w:hAnsi="仿宋_GB2312" w:cs="仿宋_GB2312" w:eastAsia="仿宋_GB2312"/>
              </w:rPr>
              <w:t>（一）评审内容：①服务组织保障及响应能力；②消防保障措施；③遇到突发事件的应急保障；④确保运行正常，污水处理排放符合标准的措施。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（一）评审内容：①保障运维服务的稳定和人员安全操作能力；②服务管理目标；③售后服务响应；④运行统计报表数据准确规范措施。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机构管理</w:t>
            </w:r>
          </w:p>
        </w:tc>
        <w:tc>
          <w:tcPr>
            <w:tcW w:type="dxa" w:w="2492"/>
          </w:tcPr>
          <w:p>
            <w:pPr>
              <w:pStyle w:val="null3"/>
            </w:pPr>
            <w:r>
              <w:rPr>
                <w:rFonts w:ascii="仿宋_GB2312" w:hAnsi="仿宋_GB2312" w:cs="仿宋_GB2312" w:eastAsia="仿宋_GB2312"/>
              </w:rPr>
              <w:t>（一）评审内容：①人员及运行管理机构；②人员岗位职责；③服务人员技术培训方案。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拟派项目团队人员中，每具有一个环保类相关专业高级职称得2分，满分6分；每具有一个环保类相关专业中级职称得1分，满分3分。 注：本项最高6分，提供人员证书证明材料，否则不得分。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投标人具有近年（2023年1月至今）的类似业绩（合同扫描件并加盖投标人公章，以合同签订时间为准）每个计0.5分，最多得1分；未提供不得分。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满足招标文件要求且投标价格最低的投标总报价为评标基准价，其价格分为满分。其他投标人的价格分统一按照下列公式计算： 投标报价得分=(评标基准价／投标报价)×15%×100。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详见附件：投标人其它资料.docx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