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版本号：政采-临渭区-2026-0000320260114001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渭南市临渭区桥南镇全域土地综合整治山水工程生态补偿一体化示范项目全流程技术服务项目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政采-临渭区-2026-00003</w:t>
      </w:r>
      <w:r>
        <w:br/>
      </w:r>
      <w:r>
        <w:br/>
      </w:r>
      <w:r>
        <w:br/>
      </w:r>
    </w:p>
    <w:p>
      <w:pPr>
        <w:pStyle w:val="null3"/>
        <w:jc w:val="center"/>
        <w:outlineLvl w:val="2"/>
      </w:pPr>
      <w:r>
        <w:rPr>
          <w:rFonts w:ascii="仿宋_GB2312" w:hAnsi="仿宋_GB2312" w:cs="仿宋_GB2312" w:eastAsia="仿宋_GB2312"/>
          <w:sz w:val="28"/>
          <w:b/>
        </w:rPr>
        <w:t>渭南市临渭区自然资源局</w:t>
      </w:r>
    </w:p>
    <w:p>
      <w:pPr>
        <w:pStyle w:val="null3"/>
        <w:jc w:val="center"/>
        <w:outlineLvl w:val="2"/>
      </w:pPr>
      <w:r>
        <w:rPr>
          <w:rFonts w:ascii="仿宋_GB2312" w:hAnsi="仿宋_GB2312" w:cs="仿宋_GB2312" w:eastAsia="仿宋_GB2312"/>
          <w:sz w:val="28"/>
          <w:b/>
        </w:rPr>
        <w:t>陕西佳禾泽阳项目咨询有限公司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陕西佳禾泽阳项目咨询有限公司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渭南市临渭区自然资源局</w:t>
      </w:r>
      <w:r>
        <w:rPr>
          <w:rFonts w:ascii="仿宋_GB2312" w:hAnsi="仿宋_GB2312" w:cs="仿宋_GB2312" w:eastAsia="仿宋_GB2312"/>
        </w:rPr>
        <w:t>委托，拟对</w:t>
      </w:r>
      <w:r>
        <w:rPr>
          <w:rFonts w:ascii="仿宋_GB2312" w:hAnsi="仿宋_GB2312" w:cs="仿宋_GB2312" w:eastAsia="仿宋_GB2312"/>
        </w:rPr>
        <w:t>渭南市临渭区桥南镇全域土地综合整治山水工程生态补偿一体化示范项目全流程技术服务项目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政采-临渭区-2026-00003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渭南市临渭区桥南镇全域土地综合整治山水工程生态补偿一体化示范项目全流程技术服务项目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渭南市临渭区桥南镇全域土地综合整治/山水工程/生态补偿一体化示范项目全流程技术服务项目，提供项目实施过程相关技术服务，以及永久基本农田调整、集体经营性建设用地入市、土地权属调整等子方案的具体编制及报批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采购包1（渭南市临渭区桥南镇全域土地综合整治山水工程生态补偿一体化示范项目全流程技术服务项目）：属于专门面向中小企业采购。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1、营业执照：具有独立承担民事责任能力的法人或其他组织提供营业执照等合法证明文件</w:t>
      </w:r>
    </w:p>
    <w:p>
      <w:pPr>
        <w:pStyle w:val="null3"/>
      </w:pPr>
      <w:r>
        <w:rPr>
          <w:rFonts w:ascii="仿宋_GB2312" w:hAnsi="仿宋_GB2312" w:cs="仿宋_GB2312" w:eastAsia="仿宋_GB2312"/>
        </w:rPr>
        <w:t>2、供应商应授权合法的人员：供应商应授权合法的人员参加投标，其中法定代表人直接参加投标，须出具法定代表人身份证，并与营业执照上信息一致。法定代表人授权代表参加投标，须出具法定代表人授权书及授权代表身份证原件</w:t>
      </w:r>
    </w:p>
    <w:p>
      <w:pPr>
        <w:pStyle w:val="null3"/>
      </w:pPr>
      <w:r>
        <w:rPr>
          <w:rFonts w:ascii="仿宋_GB2312" w:hAnsi="仿宋_GB2312" w:cs="仿宋_GB2312" w:eastAsia="仿宋_GB2312"/>
        </w:rPr>
        <w:t>3、财务状况：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p>
      <w:pPr>
        <w:pStyle w:val="null3"/>
      </w:pPr>
      <w:r>
        <w:rPr>
          <w:rFonts w:ascii="仿宋_GB2312" w:hAnsi="仿宋_GB2312" w:cs="仿宋_GB2312" w:eastAsia="仿宋_GB2312"/>
        </w:rPr>
        <w:t>4、税收缴纳证明：提供投标文件递交截止时间前一年内任意一个月的缴费凭据（依法免税的供应商应提供相关文件证明）</w:t>
      </w:r>
    </w:p>
    <w:p>
      <w:pPr>
        <w:pStyle w:val="null3"/>
      </w:pPr>
      <w:r>
        <w:rPr>
          <w:rFonts w:ascii="仿宋_GB2312" w:hAnsi="仿宋_GB2312" w:cs="仿宋_GB2312" w:eastAsia="仿宋_GB2312"/>
        </w:rPr>
        <w:t>5、社会保障资金缴纳证明：提供投标文件递交截止时间前一年内任意一个月的社保缴费凭据或社保机构开具的社会保险参保缴费情况证明（依法不需要缴纳社会保障资金的供应商应提供相关证明）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6、供应商及项目负责人要求：供应商须具有土地规划或城乡规划乙级及以上资质（含乙级）、测绘乙级及以上资质（含乙级），项目负责人应具备规划相关专业的高级职称。</w:t>
      </w:r>
    </w:p>
    <w:p>
      <w:pPr>
        <w:pStyle w:val="null3"/>
      </w:pPr>
      <w:r>
        <w:rPr>
          <w:rFonts w:ascii="仿宋_GB2312" w:hAnsi="仿宋_GB2312" w:cs="仿宋_GB2312" w:eastAsia="仿宋_GB2312"/>
        </w:rPr>
        <w:t>7、供应商具有履行本合同所必需的设备和专业技术能力：提供具有履行本合同所必需的设备和专业技术能力的说明及承诺；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8、书面说明：提供参加政府采购活动前三年内在经营活动中没有重大违法记录的书面声明；</w:t>
      </w:r>
    </w:p>
    <w:p>
      <w:pPr>
        <w:pStyle w:val="null3"/>
      </w:pPr>
      <w:r>
        <w:rPr>
          <w:rFonts w:ascii="仿宋_GB2312" w:hAnsi="仿宋_GB2312" w:cs="仿宋_GB2312" w:eastAsia="仿宋_GB2312"/>
        </w:rPr>
        <w:t>9、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东风街中段11号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吕建琦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0913-8169180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陕西佳禾泽阳项目咨询有限公司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陕西省渭南市临渭区陕西省渭南市临渭区六泉路与玉德路十字上上国风三期九号院6号楼1单元1403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彭利群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开户名称：陕西佳禾泽阳项目咨询有限公司</w:t>
            </w:r>
          </w:p>
          <w:p>
            <w:pPr>
              <w:pStyle w:val="null3"/>
            </w:pPr>
            <w:r>
              <w:rPr>
                <w:rFonts w:ascii="仿宋_GB2312" w:hAnsi="仿宋_GB2312" w:cs="仿宋_GB2312" w:eastAsia="仿宋_GB2312"/>
              </w:rPr>
              <w:t>开户银行：中国邮政储蓄银行股份有限公司渭南市分行</w:t>
            </w:r>
          </w:p>
          <w:p>
            <w:pPr>
              <w:pStyle w:val="null3"/>
            </w:pPr>
            <w:r>
              <w:rPr>
                <w:rFonts w:ascii="仿宋_GB2312" w:hAnsi="仿宋_GB2312" w:cs="仿宋_GB2312" w:eastAsia="仿宋_GB2312"/>
              </w:rPr>
              <w:t>银行账号：961003010033566681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[20031857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渭南市临渭区自然资源局</w:t>
      </w:r>
      <w:r>
        <w:rPr>
          <w:rFonts w:ascii="仿宋_GB2312" w:hAnsi="仿宋_GB2312" w:cs="仿宋_GB2312" w:eastAsia="仿宋_GB2312"/>
        </w:rPr>
        <w:t>和</w:t>
      </w:r>
      <w:r>
        <w:rPr>
          <w:rFonts w:ascii="仿宋_GB2312" w:hAnsi="仿宋_GB2312" w:cs="仿宋_GB2312" w:eastAsia="仿宋_GB2312"/>
        </w:rPr>
        <w:t>陕西佳禾泽阳项目咨询有限公司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陕西佳禾泽阳项目咨询有限公司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陕西佳禾泽阳项目咨询有限公司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符合国家相关法律、法规及行业质量标准和采购人要求，达到合格标准，并通过上级主管部门的评审。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联系人：彭利群</w:t>
      </w:r>
    </w:p>
    <w:p>
      <w:pPr>
        <w:pStyle w:val="null3"/>
      </w:pPr>
      <w:r>
        <w:rPr>
          <w:rFonts w:ascii="仿宋_GB2312" w:hAnsi="仿宋_GB2312" w:cs="仿宋_GB2312" w:eastAsia="仿宋_GB2312"/>
        </w:rPr>
        <w:t>联系电话：15129916448</w:t>
      </w:r>
    </w:p>
    <w:p>
      <w:pPr>
        <w:pStyle w:val="null3"/>
      </w:pPr>
      <w:r>
        <w:rPr>
          <w:rFonts w:ascii="仿宋_GB2312" w:hAnsi="仿宋_GB2312" w:cs="仿宋_GB2312" w:eastAsia="仿宋_GB2312"/>
        </w:rPr>
        <w:t>地址：：陕西省渭南市临渭区陕西省渭南市临渭区六泉路与玉德路十字上上国风三期九号院6号楼1单元1403</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渭南市临渭区桥南镇全域土地综合整治/山水工程/生态补偿一体化示范项目全流程技术服务项目，提供项目实施过程相关技术服务，以及永久基本农田调整、集体经营性建设用地入市、土地权属调整等子方案的具体编制及报批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渭南市临渭区桥南镇全域土地综合整治山水工程生态补偿一体化示范项目全流程技术服务项目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标的名称：渭南市临渭区桥南镇全域土地综合整治山水工程生态补偿一体化示范项目全流程技术服务项目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一、项目背景概况</w:t>
            </w:r>
          </w:p>
          <w:p>
            <w:pPr>
              <w:pStyle w:val="null3"/>
            </w:pPr>
            <w:r>
              <w:rPr>
                <w:rFonts w:ascii="仿宋_GB2312" w:hAnsi="仿宋_GB2312" w:cs="仿宋_GB2312" w:eastAsia="仿宋_GB2312"/>
              </w:rPr>
              <w:t>完成渭南市临渭区桥南镇全域土地综合整治/山水工程/生态补偿一体化示范项目全流程技术服务项目，提供项目实施过程相关技术服务，以及永久基本农田调整、集体经营性建设用地入市、土地权属调整等子方案的具体编制及报批工作。</w:t>
            </w:r>
          </w:p>
          <w:p>
            <w:pPr>
              <w:pStyle w:val="null3"/>
            </w:pPr>
            <w:r>
              <w:rPr>
                <w:rFonts w:ascii="仿宋_GB2312" w:hAnsi="仿宋_GB2312" w:cs="仿宋_GB2312" w:eastAsia="仿宋_GB2312"/>
              </w:rPr>
              <w:t>二、项目概况</w:t>
            </w:r>
          </w:p>
          <w:p>
            <w:pPr>
              <w:pStyle w:val="null3"/>
            </w:pPr>
            <w:r>
              <w:rPr>
                <w:rFonts w:ascii="仿宋_GB2312" w:hAnsi="仿宋_GB2312" w:cs="仿宋_GB2312" w:eastAsia="仿宋_GB2312"/>
              </w:rPr>
              <w:t>1、项目名称：渭南市临渭区桥南镇全域土地综合整治山水工程生态补偿一体化示范项目全流程技术服务项目</w:t>
            </w:r>
          </w:p>
          <w:p>
            <w:pPr>
              <w:pStyle w:val="null3"/>
            </w:pPr>
            <w:r>
              <w:rPr>
                <w:rFonts w:ascii="仿宋_GB2312" w:hAnsi="仿宋_GB2312" w:cs="仿宋_GB2312" w:eastAsia="仿宋_GB2312"/>
              </w:rPr>
              <w:t>2、服务地点：渭南市临渭区</w:t>
            </w:r>
          </w:p>
          <w:p>
            <w:pPr>
              <w:pStyle w:val="null3"/>
            </w:pPr>
            <w:r>
              <w:rPr>
                <w:rFonts w:ascii="仿宋_GB2312" w:hAnsi="仿宋_GB2312" w:cs="仿宋_GB2312" w:eastAsia="仿宋_GB2312"/>
              </w:rPr>
              <w:t>3、执行时间：自合同签订之日起至项目验收通过</w:t>
            </w:r>
          </w:p>
          <w:p>
            <w:pPr>
              <w:pStyle w:val="null3"/>
            </w:pPr>
            <w:r>
              <w:rPr>
                <w:rFonts w:ascii="仿宋_GB2312" w:hAnsi="仿宋_GB2312" w:cs="仿宋_GB2312" w:eastAsia="仿宋_GB2312"/>
              </w:rPr>
              <w:t>三、项目服务具体要求</w:t>
            </w:r>
          </w:p>
          <w:p>
            <w:pPr>
              <w:pStyle w:val="null3"/>
            </w:pPr>
            <w:r>
              <w:rPr>
                <w:rFonts w:ascii="仿宋_GB2312" w:hAnsi="仿宋_GB2312" w:cs="仿宋_GB2312" w:eastAsia="仿宋_GB2312"/>
              </w:rPr>
              <w:t>贯彻落实《自然资源部关于学习运用“千万工程”经验 深入推进全域土地综合整治工作的意见》(自然资发(2024)149号)，依据《陕西省自然资源厅陕西省财政厅关于2025年全域土地综合警治山水工程/生态补偿一体化示范项目预征集的通知》(陕自然资修复发[2024)1697号)全域土地综合整治实施指南(试行)》等文件，提供项目实施过程相关技术服务，以及永久基本农田调整、集体经营性建设用地入市、土地权属调整等子方案的具体编制及报批工作。</w:t>
            </w:r>
          </w:p>
          <w:p>
            <w:pPr>
              <w:pStyle w:val="null3"/>
            </w:pPr>
            <w:r>
              <w:rPr>
                <w:rFonts w:ascii="仿宋_GB2312" w:hAnsi="仿宋_GB2312" w:cs="仿宋_GB2312" w:eastAsia="仿宋_GB2312"/>
              </w:rPr>
              <w:t>四、项目验收标准及依据</w:t>
            </w:r>
          </w:p>
          <w:p>
            <w:pPr>
              <w:pStyle w:val="null3"/>
            </w:pPr>
            <w:r>
              <w:rPr>
                <w:rFonts w:ascii="仿宋_GB2312" w:hAnsi="仿宋_GB2312" w:cs="仿宋_GB2312" w:eastAsia="仿宋_GB2312"/>
              </w:rPr>
              <w:t>验收标准：符合国家相关法律、法规及行业质量标准和采购人要求，达到合格标准，并通过上级主管部门的评审。</w:t>
            </w:r>
          </w:p>
          <w:p>
            <w:pPr>
              <w:pStyle w:val="null3"/>
            </w:pPr>
            <w:r>
              <w:rPr>
                <w:rFonts w:ascii="仿宋_GB2312" w:hAnsi="仿宋_GB2312" w:cs="仿宋_GB2312" w:eastAsia="仿宋_GB2312"/>
              </w:rPr>
              <w:t>验收依据：国家及当地相关的标准和规范。</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符合国家相关法律、法规及行业质量标准和采购人要求，达到合格标准，并通过上级主管部门的评审。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合同签订后10个工作日内，采购人支付合同总金额的40%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项目主体完工并配合完成永久基本农田调整、集体经营性建设用地入市、土地权属调整等子方案的具体编制及报批工作后一个月内无息一次付清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具有独立承担民事责任能力的法人或其他组织提供营业执照等合法证明文件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w:t>
            </w:r>
          </w:p>
        </w:tc>
        <w:tc>
          <w:tcPr>
            <w:tcW w:type="dxa" w:w="3322"/>
          </w:tcPr>
          <w:p>
            <w:pPr>
              <w:pStyle w:val="null3"/>
            </w:pPr>
            <w:r>
              <w:rPr>
                <w:rFonts w:ascii="仿宋_GB2312" w:hAnsi="仿宋_GB2312" w:cs="仿宋_GB2312" w:eastAsia="仿宋_GB2312"/>
              </w:rPr>
              <w:t>供应商应授权合法的人员参加投标，其中法定代表人直接参加投标，须出具法定代表人身份证，并与营业执照上信息一致。法定代表人授权代表参加投标，须出具法定代表人授权书及授权代表身份证原件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供应商及项目负责人要求</w:t>
            </w:r>
          </w:p>
        </w:tc>
        <w:tc>
          <w:tcPr>
            <w:tcW w:type="dxa" w:w="3322"/>
          </w:tcPr>
          <w:p>
            <w:pPr>
              <w:pStyle w:val="null3"/>
            </w:pPr>
            <w:r>
              <w:rPr>
                <w:rFonts w:ascii="仿宋_GB2312" w:hAnsi="仿宋_GB2312" w:cs="仿宋_GB2312" w:eastAsia="仿宋_GB2312"/>
              </w:rPr>
              <w:t>供应商须具有土地规划或城乡规划乙级及以上资质（含乙级）、测绘乙级及以上资质（含乙级），项目负责人应具备规划相关专业的高级职称。</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根据所提供的针对本项目的整体实施方案，方案包含但不限于：①对项目的理解；②政策、法律、法规的解读；③项目编制的依据；④工作思路；⑤服务内容；⑥项目成果等。二、评审标准：提供详细、合理、科学可行的方案，方案符合本项目采购需求有针对性，以上6项，以序号①、②、③、④、⑤、⑥为项数，内容无缺项、无漏项且无缺陷的得18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专业化服务方案</w:t>
            </w:r>
          </w:p>
        </w:tc>
        <w:tc>
          <w:tcPr>
            <w:tcW w:type="dxa" w:w="2492"/>
          </w:tcPr>
          <w:p>
            <w:pPr>
              <w:pStyle w:val="null3"/>
            </w:pPr>
            <w:r>
              <w:rPr>
                <w:rFonts w:ascii="仿宋_GB2312" w:hAnsi="仿宋_GB2312" w:cs="仿宋_GB2312" w:eastAsia="仿宋_GB2312"/>
              </w:rPr>
              <w:t>一、评审内容：根据所提供的针对本项目的专业化服务方案情况进行综合评价。专业化服务方案包含：①基础资料收集与整理；②实施方案编制；③针对服务内容所需的具体方案；④保密措施。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一、评审内容：供应商根据本项目采购内容及要求编制服务质量保障措施，包含但不限于①质量标准；②质量控制体系；③质量保证措施等。 二、评审标准：提供详细、合理、科学可行的方案，方案符合本项目采购需求有针对性，以上3项，以序号①、②、③为项数，内容无缺项、无漏项且无缺陷的得12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一、评审内容：项目重点难点分析及解决方案，包含但不限于：①项目实施面临的重点、难点分析；②对重点、难点的解决方案等。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包含但不限于：①综合实力；②经营状况。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一、评审内容：供应商根据本项目采购内容及要求编制进度计划安排，包含但不限于①各阶段时间节点②进度保障措施③临时调整措施及应急处理能力等。 二、评审标准：提供详细、合理、科学可行的方案，方案符合本项目采购需求有针对性，以序号①、②、③为项数，内容无缺项、无漏项且无缺陷的得6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1、服务团队：①实施团队人员配备7人及以上得6分； ②实施团队人员配备4-6人得4分； ③实施团队人员配备1-3人得2分。 需提供佐证材料，包括但不限于身份证、毕业证、岗位证等，本项最高得6分，未提供不得分。 2、服务团队人员（不包含项目负责人）每具有一个相关专业中级职称得1分，相关专业高级职称得2分，本项最多得4分，需提供佐证材料，未提供不得分。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提供近三年以来类似业绩，每提供一个有效业绩得2分，满分6分。注：不提供得0分。（以合同签订时间为准。）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