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版本号：ZCSP-临渭区-2026-0003420260206001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临渭区2026年小麦“一喷三防”项目（药剂采购）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ZCSP-临渭区-2026-00034</w:t>
      </w:r>
      <w:r>
        <w:br/>
      </w:r>
      <w:r>
        <w:br/>
      </w:r>
      <w:r>
        <w:br/>
      </w:r>
    </w:p>
    <w:p>
      <w:pPr>
        <w:pStyle w:val="null3"/>
        <w:jc w:val="center"/>
        <w:outlineLvl w:val="2"/>
      </w:pPr>
      <w:r>
        <w:rPr>
          <w:rFonts w:ascii="仿宋_GB2312" w:hAnsi="仿宋_GB2312" w:cs="仿宋_GB2312" w:eastAsia="仿宋_GB2312"/>
          <w:sz w:val="28"/>
          <w:b/>
        </w:rPr>
        <w:t>渭南市临渭区农业技术推广中心</w:t>
      </w:r>
    </w:p>
    <w:p>
      <w:pPr>
        <w:pStyle w:val="null3"/>
        <w:jc w:val="center"/>
        <w:outlineLvl w:val="2"/>
      </w:pPr>
      <w:r>
        <w:rPr>
          <w:rFonts w:ascii="仿宋_GB2312" w:hAnsi="仿宋_GB2312" w:cs="仿宋_GB2312" w:eastAsia="仿宋_GB2312"/>
          <w:sz w:val="28"/>
          <w:b/>
        </w:rPr>
        <w:t>新瑞建设有限公司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新瑞建设有限公司</w:t>
      </w:r>
      <w:r>
        <w:rPr>
          <w:rFonts w:ascii="仿宋_GB2312" w:hAnsi="仿宋_GB2312" w:cs="仿宋_GB2312" w:eastAsia="仿宋_GB2312"/>
        </w:rPr>
        <w:t>（以下简称“代理机构”）受</w:t>
      </w:r>
      <w:r>
        <w:rPr>
          <w:rFonts w:ascii="仿宋_GB2312" w:hAnsi="仿宋_GB2312" w:cs="仿宋_GB2312" w:eastAsia="仿宋_GB2312"/>
        </w:rPr>
        <w:t>渭南市临渭区农业技术推广中心</w:t>
      </w:r>
      <w:r>
        <w:rPr>
          <w:rFonts w:ascii="仿宋_GB2312" w:hAnsi="仿宋_GB2312" w:cs="仿宋_GB2312" w:eastAsia="仿宋_GB2312"/>
        </w:rPr>
        <w:t>委托，拟对</w:t>
      </w:r>
      <w:r>
        <w:rPr>
          <w:rFonts w:ascii="仿宋_GB2312" w:hAnsi="仿宋_GB2312" w:cs="仿宋_GB2312" w:eastAsia="仿宋_GB2312"/>
        </w:rPr>
        <w:t>临渭区2026年小麦“一喷三防”项目（药剂采购）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ZCSP-临渭区-2026-00034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临渭区2026年小麦“一喷三防”项目（药剂采购）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为提高小麦安全生产，本项目主要对小麦进行“一喷三防”药剂发放服务。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投标人如为生产厂家的，须提供农药登记证、农药生产许可证或农药生产批准文件、农药标准证；投标人如为经销商的，须提供农药经营许可证及生产厂家的农药登记证、农药生产许可证或农药生产批准文件、农药标准证；</w:t>
      </w:r>
    </w:p>
    <w:p>
      <w:pPr>
        <w:pStyle w:val="null3"/>
      </w:pPr>
      <w:r>
        <w:rPr>
          <w:rFonts w:ascii="仿宋_GB2312" w:hAnsi="仿宋_GB2312" w:cs="仿宋_GB2312" w:eastAsia="仿宋_GB2312"/>
        </w:rPr>
        <w:t>2、法定代表人授权书/法定代表人身份证明：法定代表人参与投标时需提供法定代表人身份证明；被授权人参与投标时需提供法定代表人身份证明及法定代表人授权委托书</w:t>
      </w:r>
    </w:p>
    <w:p>
      <w:pPr>
        <w:pStyle w:val="null3"/>
      </w:pPr>
      <w:r>
        <w:rPr>
          <w:rFonts w:ascii="仿宋_GB2312" w:hAnsi="仿宋_GB2312" w:cs="仿宋_GB2312" w:eastAsia="仿宋_GB2312"/>
        </w:rPr>
        <w:t>3、投标保证金交纳凭证：投标保证金交纳凭证</w:t>
      </w:r>
    </w:p>
    <w:p>
      <w:pPr>
        <w:pStyle w:val="null3"/>
      </w:pPr>
      <w:r>
        <w:rPr>
          <w:rFonts w:ascii="仿宋_GB2312" w:hAnsi="仿宋_GB2312" w:cs="仿宋_GB2312" w:eastAsia="仿宋_GB2312"/>
        </w:rPr>
        <w:t>4、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渭南市临渭区农业技术推广中心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渭南市民生北街245号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张站长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0913-2167055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新瑞建设有限公司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陕西省渭南市临渭区解放路北段渭河大街东段南侧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刘世龙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0913-2136088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采购包1：378,700.00元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开户名称：新瑞建设有限公司</w:t>
            </w:r>
          </w:p>
          <w:p>
            <w:pPr>
              <w:pStyle w:val="null3"/>
            </w:pPr>
            <w:r>
              <w:rPr>
                <w:rFonts w:ascii="仿宋_GB2312" w:hAnsi="仿宋_GB2312" w:cs="仿宋_GB2312" w:eastAsia="仿宋_GB2312"/>
              </w:rPr>
              <w:t>开户银行：中国工商银行渭南乐天花园支行</w:t>
            </w:r>
          </w:p>
          <w:p>
            <w:pPr>
              <w:pStyle w:val="null3"/>
            </w:pPr>
            <w:r>
              <w:rPr>
                <w:rFonts w:ascii="仿宋_GB2312" w:hAnsi="仿宋_GB2312" w:cs="仿宋_GB2312" w:eastAsia="仿宋_GB2312"/>
              </w:rPr>
              <w:t>银行账号：2605041319200030511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原国家计委关于《招标代理服务收费管理暂行办法》（计价格〔2002〕1980号）以及国家发改价格〔2011〕534号文件规定中代理费计算方式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渭南市临渭区农业技术推广中心</w:t>
      </w:r>
      <w:r>
        <w:rPr>
          <w:rFonts w:ascii="仿宋_GB2312" w:hAnsi="仿宋_GB2312" w:cs="仿宋_GB2312" w:eastAsia="仿宋_GB2312"/>
        </w:rPr>
        <w:t>和</w:t>
      </w:r>
      <w:r>
        <w:rPr>
          <w:rFonts w:ascii="仿宋_GB2312" w:hAnsi="仿宋_GB2312" w:cs="仿宋_GB2312" w:eastAsia="仿宋_GB2312"/>
        </w:rPr>
        <w:t>新瑞建设有限公司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渭南市临渭区农业技术推广中心</w:t>
      </w:r>
      <w:r>
        <w:rPr>
          <w:rFonts w:ascii="仿宋_GB2312" w:hAnsi="仿宋_GB2312" w:cs="仿宋_GB2312" w:eastAsia="仿宋_GB2312"/>
        </w:rPr>
        <w:t>负责解释。除上述招标文件内容，其他内容由</w:t>
      </w:r>
      <w:r>
        <w:rPr>
          <w:rFonts w:ascii="仿宋_GB2312" w:hAnsi="仿宋_GB2312" w:cs="仿宋_GB2312" w:eastAsia="仿宋_GB2312"/>
        </w:rPr>
        <w:t>新瑞建设有限公司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渭南市临渭区农业技术推广中心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新瑞建设有限公司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联系人：刘世龙</w:t>
      </w:r>
    </w:p>
    <w:p>
      <w:pPr>
        <w:pStyle w:val="null3"/>
      </w:pPr>
      <w:r>
        <w:rPr>
          <w:rFonts w:ascii="仿宋_GB2312" w:hAnsi="仿宋_GB2312" w:cs="仿宋_GB2312" w:eastAsia="仿宋_GB2312"/>
        </w:rPr>
        <w:t>联系电话：0913-2136088</w:t>
      </w:r>
    </w:p>
    <w:p>
      <w:pPr>
        <w:pStyle w:val="null3"/>
      </w:pPr>
      <w:r>
        <w:rPr>
          <w:rFonts w:ascii="仿宋_GB2312" w:hAnsi="仿宋_GB2312" w:cs="仿宋_GB2312" w:eastAsia="仿宋_GB2312"/>
        </w:rPr>
        <w:t>地址：陕西省渭南市临渭区解放路北段渭河大街东段南侧</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为提高小麦安全生产，本项目主要对小麦进行“一喷三防”药剂发放服务。</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378,700.00</w:t>
      </w:r>
    </w:p>
    <w:p>
      <w:pPr>
        <w:pStyle w:val="null3"/>
      </w:pPr>
      <w:r>
        <w:rPr>
          <w:rFonts w:ascii="仿宋_GB2312" w:hAnsi="仿宋_GB2312" w:cs="仿宋_GB2312" w:eastAsia="仿宋_GB2312"/>
        </w:rPr>
        <w:t>采购包最高限价（元）: 378,700.00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临渭区2026年小麦一喷三防（药剂采购）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378,700.00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标的名称：临渭区2026年小麦一喷三防（药剂采购）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3"/>
              <w:jc w:val="left"/>
            </w:pPr>
            <w:r>
              <w:rPr>
                <w:rFonts w:ascii="仿宋_GB2312" w:hAnsi="仿宋_GB2312" w:cs="仿宋_GB2312" w:eastAsia="仿宋_GB2312"/>
              </w:rPr>
              <w:t>1.服务内容</w:t>
            </w:r>
          </w:p>
          <w:p>
            <w:pPr>
              <w:pStyle w:val="null3"/>
            </w:pPr>
            <w:r>
              <w:rPr>
                <w:rFonts w:ascii="仿宋_GB2312" w:hAnsi="仿宋_GB2312" w:cs="仿宋_GB2312" w:eastAsia="仿宋_GB2312"/>
              </w:rPr>
              <w:t>在小麦重大病虫害发生关键期前完成小麦“一喷三防”药剂发放服务。</w:t>
            </w:r>
          </w:p>
          <w:p>
            <w:pPr>
              <w:pStyle w:val="null3"/>
            </w:pPr>
            <w:r>
              <w:rPr>
                <w:rFonts w:ascii="仿宋_GB2312" w:hAnsi="仿宋_GB2312" w:cs="仿宋_GB2312" w:eastAsia="仿宋_GB2312"/>
              </w:rPr>
              <w:t>2.药剂服务要求</w:t>
            </w:r>
          </w:p>
          <w:p>
            <w:pPr>
              <w:pStyle w:val="null3"/>
            </w:pPr>
            <w:r>
              <w:rPr>
                <w:rFonts w:ascii="仿宋_GB2312" w:hAnsi="仿宋_GB2312" w:cs="仿宋_GB2312" w:eastAsia="仿宋_GB2312"/>
              </w:rPr>
              <w:t>2.1 药剂服务要求</w:t>
            </w:r>
          </w:p>
          <w:p>
            <w:pPr>
              <w:pStyle w:val="null3"/>
            </w:pPr>
            <w:r>
              <w:rPr>
                <w:rFonts w:ascii="仿宋_GB2312" w:hAnsi="仿宋_GB2312" w:cs="仿宋_GB2312" w:eastAsia="仿宋_GB2312"/>
              </w:rPr>
              <w:t>负责药剂的发放，在指定街镇针对小麦种植户开展高产种植管理技术及病虫害综合防控技术的科技讲座，病虫害综合防控技术培训服务，提升群众认知意识，重视粮食生产及田间管理，为粮食安全打牢基础。</w:t>
            </w:r>
          </w:p>
          <w:p>
            <w:pPr>
              <w:pStyle w:val="null3"/>
            </w:pPr>
            <w:r>
              <w:rPr>
                <w:rFonts w:ascii="仿宋_GB2312" w:hAnsi="仿宋_GB2312" w:cs="仿宋_GB2312" w:eastAsia="仿宋_GB2312"/>
              </w:rPr>
              <w:t>2.2 药剂使用要求</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标的</w:t>
                  </w:r>
                </w:p>
                <w:p>
                  <w:pPr>
                    <w:pStyle w:val="null3"/>
                  </w:pPr>
                  <w:r>
                    <w:rPr>
                      <w:rFonts w:ascii="仿宋_GB2312" w:hAnsi="仿宋_GB2312" w:cs="仿宋_GB2312" w:eastAsia="仿宋_GB2312"/>
                    </w:rPr>
                    <w:t>名称</w:t>
                  </w:r>
                </w:p>
              </w:tc>
              <w:tc>
                <w:tcPr>
                  <w:tcW w:type="dxa" w:w="638"/>
                </w:tcPr>
                <w:p>
                  <w:pPr>
                    <w:pStyle w:val="null3"/>
                  </w:pPr>
                  <w:r>
                    <w:rPr>
                      <w:rFonts w:ascii="仿宋_GB2312" w:hAnsi="仿宋_GB2312" w:cs="仿宋_GB2312" w:eastAsia="仿宋_GB2312"/>
                    </w:rPr>
                    <w:t>数量</w:t>
                  </w:r>
                </w:p>
              </w:tc>
              <w:tc>
                <w:tcPr>
                  <w:tcW w:type="dxa" w:w="638"/>
                </w:tcPr>
                <w:p>
                  <w:pPr>
                    <w:pStyle w:val="null3"/>
                  </w:pPr>
                  <w:r>
                    <w:rPr>
                      <w:rFonts w:ascii="仿宋_GB2312" w:hAnsi="仿宋_GB2312" w:cs="仿宋_GB2312" w:eastAsia="仿宋_GB2312"/>
                    </w:rPr>
                    <w:t>技术指标、参数</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杀虫剂</w:t>
                  </w:r>
                </w:p>
              </w:tc>
              <w:tc>
                <w:tcPr>
                  <w:tcW w:type="dxa" w:w="638"/>
                </w:tcPr>
                <w:p>
                  <w:pPr>
                    <w:pStyle w:val="null3"/>
                  </w:pPr>
                  <w:r>
                    <w:rPr>
                      <w:rFonts w:ascii="仿宋_GB2312" w:hAnsi="仿宋_GB2312" w:cs="仿宋_GB2312" w:eastAsia="仿宋_GB2312"/>
                    </w:rPr>
                    <w:t>按农业农村部登记药剂的推荐剂量上限，计4.2078万亩。</w:t>
                  </w:r>
                </w:p>
              </w:tc>
              <w:tc>
                <w:tcPr>
                  <w:tcW w:type="dxa" w:w="638"/>
                </w:tcPr>
                <w:p>
                  <w:pPr>
                    <w:pStyle w:val="null3"/>
                  </w:pPr>
                  <w:r>
                    <w:rPr>
                      <w:rFonts w:ascii="仿宋_GB2312" w:hAnsi="仿宋_GB2312" w:cs="仿宋_GB2312" w:eastAsia="仿宋_GB2312"/>
                    </w:rPr>
                    <w:t>高效氯氟氰菊酯、氟啶虫酰胺、呋虫胺、噻虫嗪、噻虫胺等药剂的复配制剂。</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杀菌剂</w:t>
                  </w:r>
                </w:p>
              </w:tc>
              <w:tc>
                <w:tcPr>
                  <w:tcW w:type="dxa" w:w="638"/>
                </w:tcPr>
                <w:p>
                  <w:pPr>
                    <w:pStyle w:val="null3"/>
                  </w:pPr>
                  <w:r>
                    <w:rPr>
                      <w:rFonts w:ascii="仿宋_GB2312" w:hAnsi="仿宋_GB2312" w:cs="仿宋_GB2312" w:eastAsia="仿宋_GB2312"/>
                    </w:rPr>
                    <w:t>按农业农村部登记药剂的推荐剂量上限，计4.2078万亩。</w:t>
                  </w:r>
                </w:p>
              </w:tc>
              <w:tc>
                <w:tcPr>
                  <w:tcW w:type="dxa" w:w="638"/>
                </w:tcPr>
                <w:p>
                  <w:pPr>
                    <w:pStyle w:val="null3"/>
                  </w:pPr>
                  <w:r>
                    <w:rPr>
                      <w:rFonts w:ascii="仿宋_GB2312" w:hAnsi="仿宋_GB2312" w:cs="仿宋_GB2312" w:eastAsia="仿宋_GB2312"/>
                    </w:rPr>
                    <w:t>氰烯菌酯或丙硫菌唑及其复配剂。</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叶面肥</w:t>
                  </w:r>
                </w:p>
              </w:tc>
              <w:tc>
                <w:tcPr>
                  <w:tcW w:type="dxa" w:w="638"/>
                </w:tcPr>
                <w:p>
                  <w:pPr>
                    <w:pStyle w:val="null3"/>
                  </w:pPr>
                  <w:r>
                    <w:rPr>
                      <w:rFonts w:ascii="仿宋_GB2312" w:hAnsi="仿宋_GB2312" w:cs="仿宋_GB2312" w:eastAsia="仿宋_GB2312"/>
                    </w:rPr>
                    <w:t>按农业农村部登记药剂的推荐剂量，计</w:t>
                  </w:r>
                </w:p>
                <w:p>
                  <w:pPr>
                    <w:pStyle w:val="null3"/>
                  </w:pPr>
                  <w:r>
                    <w:rPr>
                      <w:rFonts w:ascii="仿宋_GB2312" w:hAnsi="仿宋_GB2312" w:cs="仿宋_GB2312" w:eastAsia="仿宋_GB2312"/>
                    </w:rPr>
                    <w:t>4.2078万亩。</w:t>
                  </w:r>
                </w:p>
              </w:tc>
              <w:tc>
                <w:tcPr>
                  <w:tcW w:type="dxa" w:w="638"/>
                </w:tcPr>
                <w:p>
                  <w:pPr>
                    <w:pStyle w:val="null3"/>
                  </w:pPr>
                  <w:r>
                    <w:rPr>
                      <w:rFonts w:ascii="仿宋_GB2312" w:hAnsi="仿宋_GB2312" w:cs="仿宋_GB2312" w:eastAsia="仿宋_GB2312"/>
                    </w:rPr>
                    <w:t>磷酸二氢钾含腐殖酸/氨基酸的水溶肥。</w:t>
                  </w:r>
                </w:p>
              </w:tc>
            </w:tr>
            <w:tr>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生长调节剂</w:t>
                  </w:r>
                </w:p>
              </w:tc>
              <w:tc>
                <w:tcPr>
                  <w:tcW w:type="dxa" w:w="638"/>
                </w:tcPr>
                <w:p>
                  <w:pPr>
                    <w:pStyle w:val="null3"/>
                  </w:pPr>
                  <w:r>
                    <w:rPr>
                      <w:rFonts w:ascii="仿宋_GB2312" w:hAnsi="仿宋_GB2312" w:cs="仿宋_GB2312" w:eastAsia="仿宋_GB2312"/>
                    </w:rPr>
                    <w:t>按农业农村部登记药剂的推荐剂量，计</w:t>
                  </w:r>
                </w:p>
                <w:p>
                  <w:pPr>
                    <w:pStyle w:val="null3"/>
                  </w:pPr>
                  <w:r>
                    <w:rPr>
                      <w:rFonts w:ascii="仿宋_GB2312" w:hAnsi="仿宋_GB2312" w:cs="仿宋_GB2312" w:eastAsia="仿宋_GB2312"/>
                    </w:rPr>
                    <w:t>4.2078万亩。</w:t>
                  </w:r>
                </w:p>
              </w:tc>
              <w:tc>
                <w:tcPr>
                  <w:tcW w:type="dxa" w:w="638"/>
                </w:tcPr>
                <w:p>
                  <w:pPr>
                    <w:pStyle w:val="null3"/>
                  </w:pPr>
                  <w:r>
                    <w:rPr>
                      <w:rFonts w:ascii="仿宋_GB2312" w:hAnsi="仿宋_GB2312" w:cs="仿宋_GB2312" w:eastAsia="仿宋_GB2312"/>
                    </w:rPr>
                    <w:t>芸苔素内酯或氨基寡糖素。</w:t>
                  </w:r>
                </w:p>
              </w:tc>
            </w:tr>
          </w:tbl>
          <w:p>
            <w:pPr>
              <w:pStyle w:val="null3"/>
            </w:pPr>
            <w:r>
              <w:rPr>
                <w:rFonts w:ascii="仿宋_GB2312" w:hAnsi="仿宋_GB2312" w:cs="仿宋_GB2312" w:eastAsia="仿宋_GB2312"/>
              </w:rPr>
              <w:t>2.3服务面积</w:t>
            </w:r>
          </w:p>
          <w:p>
            <w:pPr>
              <w:pStyle w:val="null3"/>
            </w:pPr>
            <w:r>
              <w:rPr>
                <w:rFonts w:ascii="仿宋_GB2312" w:hAnsi="仿宋_GB2312" w:cs="仿宋_GB2312" w:eastAsia="仿宋_GB2312"/>
              </w:rPr>
              <w:t>在塬区六镇、向阳办、双王办围绕重点示范村和粮食合作社、家庭农场、种粮大户等区域，发放药剂面积4.2078万亩。（实际防治亩数以最终服务亩数为准）。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15日历天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渭南市临渭区（采购人指定地点）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所供产品验收合格后无质量问题后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1、所供产品的规格、数量符合招标文件、供应商承诺及采购合同约定的要求。 2、所有产品均已运输至指定地点。 3.本项目由采购人及相关部门定期对项目进行阶段性验收。 4.验收标准：按采购文件、投标文件及澄清函、项目检查情况等综合指标进行验收。各项指标均应符合验收标准及要求。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1、所供产品的规格、数量符合招标文件、供应商承诺及采购合同约定的要求。 2、所有产品均已运输至指定地点。 3.本项目由采购人及相关部门定期对项目进行阶段性验收。 4.验收标准：按采购文件、投标文件及澄清函、项目检查情况等综合指标进行验收。各项指标均应符合验收标准及要求。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合同另行约定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纸质版文件要求：中标（成交）供应商在中标（成交）结果公告发布后3个工作日内提供叁套纸质投标文件（经编标工具生成的文件直接打印并加盖公章），递交的纸质版文件内容确保与线上电子文件保持一致，不允许修改和补充；（2）根据《政府采购法实施条例》释义，银行、保险、石油石化、电力、电信等有行业特殊情况的，允许法人的分支机构参加政府采购活动；（3）本项目所属行业：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供应商需提供合法有效，具有独立承担民事责任的能力且具备向采购人提供相关服务的证明资料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具有良好的商业信誉和健全的财务会计制度以及有依法缴纳税收和社会保障资金的良好记录（提供相关证明或承诺）</w:t>
            </w:r>
          </w:p>
        </w:tc>
        <w:tc>
          <w:tcPr>
            <w:tcW w:type="dxa" w:w="3322"/>
          </w:tcPr>
          <w:p>
            <w:pPr>
              <w:pStyle w:val="null3"/>
            </w:pPr>
            <w:r>
              <w:rPr>
                <w:rFonts w:ascii="仿宋_GB2312" w:hAnsi="仿宋_GB2312" w:cs="仿宋_GB2312" w:eastAsia="仿宋_GB2312"/>
              </w:rPr>
              <w:t>财务状况报告：提供具有财务审计资质单位出具的2024年度或2025年度财务审计报告（成立时间至开标时间不足一年的可提供成立后任意时段的资产负债表）或投标文件截止时间前六个月内其基本账户银行出具的资信证明（附基本账户证明）或政府采购信用担保机构出具的投标担保函； 税收缴纳证明：提供投标文件递交截止时间前一年内任意一个月的缴费凭据；依法免税的应提供相关文件证明； 社会保障资金缴纳证明：提供投标文件递交截止时间前一年内任意一个月的社保缴费凭据或社保机构开具的社会保险参保缴费情况证明；依法不需要缴纳社会保障资金的供应商应提供相关文件证明； 注：按照陕西省财政厅关于进一步优化政府采购营商环境有关事项的通知（陕财办采〔2023〕4号）中对供应商参与政府采购活动建立“承诺+信用管理”的准入管理制度要求，以上三项内容可根据本招标文件格式要求出具承诺函，中标供应商的承诺函同中标结果一并公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提供具有履行本合同所必需的设备和专业技术能力的说明及承诺；（格式自拟，并签章）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参加政府采购活动前三年内在经营活动中无重大违法记录的书面声明；（格式自拟，并签章）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如为生产厂家的，须提供农药登记证、农药生产许可证或农药生产批准文件、农药标准证；投标人如为经销商的，须提供农药经营许可证及生产厂家的农药登记证、农药生产许可证或农药生产批准文件、农药标准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法定代表人参与投标时需提供法定代表人身份证明；被授权人参与投标时需提供法定代表人身份证明及法定代表人授权委托书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投标保证金交纳凭证</w:t>
            </w:r>
          </w:p>
        </w:tc>
        <w:tc>
          <w:tcPr>
            <w:tcW w:type="dxa" w:w="3322"/>
          </w:tcPr>
          <w:p>
            <w:pPr>
              <w:pStyle w:val="null3"/>
            </w:pPr>
            <w:r>
              <w:rPr>
                <w:rFonts w:ascii="仿宋_GB2312" w:hAnsi="仿宋_GB2312" w:cs="仿宋_GB2312" w:eastAsia="仿宋_GB2312"/>
              </w:rPr>
              <w:t>投标保证金交纳凭证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招标文件要求的其他内容</w:t>
            </w:r>
          </w:p>
        </w:tc>
        <w:tc>
          <w:tcPr>
            <w:tcW w:type="dxa" w:w="3322"/>
          </w:tcPr>
          <w:p>
            <w:pPr>
              <w:pStyle w:val="null3"/>
            </w:pPr>
            <w:r>
              <w:rPr>
                <w:rFonts w:ascii="仿宋_GB2312" w:hAnsi="仿宋_GB2312" w:cs="仿宋_GB2312" w:eastAsia="仿宋_GB2312"/>
              </w:rPr>
              <w:t>投标人对本项目的承诺</w:t>
            </w:r>
          </w:p>
        </w:tc>
        <w:tc>
          <w:tcPr>
            <w:tcW w:type="dxa" w:w="1661"/>
          </w:tcPr>
          <w:p>
            <w:pPr>
              <w:pStyle w:val="null3"/>
            </w:pPr>
            <w:r>
              <w:rPr>
                <w:rFonts w:ascii="仿宋_GB2312" w:hAnsi="仿宋_GB2312" w:cs="仿宋_GB2312" w:eastAsia="仿宋_GB2312"/>
              </w:rPr>
              <w:t>开标一览表 产品技术参数表 分项报价表.docx 投标函 中小企业声明函 残疾人福利性单位声明函 商务应答表 标的清单 投标文件封面 项目实施方案.docx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产品技术参数表 分项报价表.docx 投标函 中小企业声明函 残疾人福利性单位声明函 商务应答表 标的清单 投标文件封面 项目实施方案.docx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产品技术参数表 分项报价表.docx 投标函 中小企业声明函 残疾人福利性单位声明函 商务应答表 标的清单 投标文件封面 项目实施方案.docx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交货期/合同履行期限</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开标一览表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依据各投标供应商主要技术指标、参数、性能等情况综合评分，并能提供生产厂家出具的、响应的功能证明材料（包括但不限于检测报告、官网和功能截图、彩页、说明书等相关资料，并在技术偏离表 “说明”栏中标明页码，未提供视为负偏离），其他产品提供产品彩页，官网参数截图等相关资料。每负偏离一项扣1分，扣完为止。无有效证明材料或响应数据与证明材料不符的视为负偏离。</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一、评审内容（4分/项）投标人根据本项目特点，提供项目实施方案。包含不限于：①项目进度安排；②设备运输、安装及调试组织措施；③应急处理措施；④项目团队配备及岗位职责； 二、评审标准：提供详细、合理、科学可行的方案，方案符合本项目采购需求有针对性，以上4项，以序号①、②、③、④为项数，内容无缺项、无漏项且无缺陷的得16分，其中每有一项内容存在缺项或漏项的扣4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一、评审内容（4分/项）：①所投产品提供合法来源渠道证明材料；②产品质量保障措施；③产品的设计、工艺、加工、检验能力； 二、评审标准：提供详细、合理、科学可行的方案，方案符合本项目采购需求有针对性，以上3项，以序号①、②、③为项数，内容无缺项、无漏项且无缺陷的得12分，其中每有一项内容存在缺项或漏项的扣4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一、评审内容（4分/项）：①培训时间；②培训内容及培训方式；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一、评审内容（3分/项）: 投标人根据本项目特点，提供项目售后服务方案。包含不限于：①售后服务方案完整可行，有明确的售后服务标准、售后服务承诺以及在质保期内产品发生质量问题所产生的换货修补服务具体响应时限、补救措施等；②售后服务机构组成，人员从业经历，服务人员培训计划情况；③售后服务响应（电话支持、到场服务）； 二、评审标准：提供详细、合理、科学可行的方案，方案符合本项目采购需求有针对性，以上3项，以序号①、②、③为项数，内容无缺项、无漏项且无缺陷的得9分，其中每有一项内容存在缺项或漏项的扣2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2023年1月至今）的类似项目业绩，每提供一个有效业绩得1分，最高得5分。注：每个有效业绩须包含以下内容：合同复印件（提供合同首页、服务主要内容页、金额页、盖章页等关键页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满足招标文件要求且投标价格最低的投标报价为评标基准价，其价格分为满分。其他投标单位的价格分统一按照下列公式计算：投标报价得分=(评标基准价／投标报价)×35%×100。 备注：当评标委员会认为某个投标人的报价明显低于其他通过符合性审查投标人的报价，有可能影响服务质量和不能诚信履约的，应要求该投标人在评标现场合理的时间内提供书面说明，必要时提交相关证明材料；投标人不能证明其报价合理的，评标委员会将其作为无效投标处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详见附件：项目实施方案.docx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