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版本号：ZCSP-临渭区-2026-0003320260206001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临渭区2026年小麦“一喷三防”项目（服务采购）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ZCSP-临渭区-2026-00033</w:t>
      </w:r>
      <w:r>
        <w:br/>
      </w:r>
      <w:r>
        <w:br/>
      </w:r>
      <w:r>
        <w:br/>
      </w:r>
    </w:p>
    <w:p>
      <w:pPr>
        <w:pStyle w:val="null3"/>
        <w:jc w:val="center"/>
        <w:outlineLvl w:val="2"/>
      </w:pPr>
      <w:r>
        <w:rPr>
          <w:rFonts w:ascii="仿宋_GB2312" w:hAnsi="仿宋_GB2312" w:cs="仿宋_GB2312" w:eastAsia="仿宋_GB2312"/>
          <w:sz w:val="28"/>
          <w:b/>
        </w:rPr>
        <w:t>渭南市临渭区农业技术推广中心</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渭南市临渭区农业技术推广中心</w:t>
      </w:r>
      <w:r>
        <w:rPr>
          <w:rFonts w:ascii="仿宋_GB2312" w:hAnsi="仿宋_GB2312" w:cs="仿宋_GB2312" w:eastAsia="仿宋_GB2312"/>
        </w:rPr>
        <w:t>委托，拟对</w:t>
      </w:r>
      <w:r>
        <w:rPr>
          <w:rFonts w:ascii="仿宋_GB2312" w:hAnsi="仿宋_GB2312" w:cs="仿宋_GB2312" w:eastAsia="仿宋_GB2312"/>
        </w:rPr>
        <w:t>临渭区2026年小麦“一喷三防”项目（服务采购）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ZCSP-临渭区-2026-00033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临渭区2026年小麦“一喷三防”项目（服务采购）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为提高小麦安全生产，本项目主要对小麦进行“一喷三防”防治服务。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采购包1（临渭区2026年小麦“一喷三防”项目（服务采购））：属于专门面向中小企业采购。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1、法定代表人授权书/法定代表人身份证明：法定代表人参与投标时需提供法定代表人身份证明；被授权人参与投标时需提供法定代表人身份证明及法定代表人授权委托书</w:t>
      </w:r>
    </w:p>
    <w:p>
      <w:pPr>
        <w:pStyle w:val="null3"/>
      </w:pPr>
      <w:r>
        <w:rPr>
          <w:rFonts w:ascii="仿宋_GB2312" w:hAnsi="仿宋_GB2312" w:cs="仿宋_GB2312" w:eastAsia="仿宋_GB2312"/>
        </w:rPr>
        <w:t>2、投标保证金交纳凭证：投标保证金交纳凭证</w:t>
      </w:r>
    </w:p>
    <w:p>
      <w:pPr>
        <w:pStyle w:val="null3"/>
      </w:pPr>
      <w:r>
        <w:rPr>
          <w:rFonts w:ascii="仿宋_GB2312" w:hAnsi="仿宋_GB2312" w:cs="仿宋_GB2312" w:eastAsia="仿宋_GB2312"/>
        </w:rPr>
        <w:t>3、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渭南市临渭区农业技术推广中心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渭南市民生北街245号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张站长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0913-2167055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刘世龙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采购包1：2,299,000.00元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w:t>
            </w:r>
          </w:p>
          <w:p>
            <w:pPr>
              <w:pStyle w:val="null3"/>
            </w:pPr>
            <w:r>
              <w:rPr>
                <w:rFonts w:ascii="仿宋_GB2312" w:hAnsi="仿宋_GB2312" w:cs="仿宋_GB2312" w:eastAsia="仿宋_GB2312"/>
              </w:rPr>
              <w:t>银行账号：2605041319200030511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原国家计委关于《招标代理服务收费管理暂行办法》（计价格〔2002〕1980号）以及国家发改价格〔2011〕534号文件规定中代理费计算方式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渭南市临渭区农业技术推广中心</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渭南市临渭区农业技术推广中心</w:t>
      </w:r>
      <w:r>
        <w:rPr>
          <w:rFonts w:ascii="仿宋_GB2312" w:hAnsi="仿宋_GB2312" w:cs="仿宋_GB2312" w:eastAsia="仿宋_GB2312"/>
        </w:rPr>
        <w:t>负责解释。除上述招标文件内容，其他内容由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渭南市临渭区农业技术推广中心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联系人：刘世龙</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为提高小麦安全生产，本项目主要对小麦进行“一喷三防”防治服务。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2,299,000.00</w:t>
      </w:r>
    </w:p>
    <w:p>
      <w:pPr>
        <w:pStyle w:val="null3"/>
      </w:pPr>
      <w:r>
        <w:rPr>
          <w:rFonts w:ascii="仿宋_GB2312" w:hAnsi="仿宋_GB2312" w:cs="仿宋_GB2312" w:eastAsia="仿宋_GB2312"/>
        </w:rPr>
        <w:t>采购包最高限价（元）: 2,299,000.00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临渭区2026年小麦一喷三防（服务采购）</w:t>
            </w:r>
          </w:p>
        </w:tc>
        <w:tc>
          <w:tcPr>
            <w:tcW w:type="dxa" w:w="831"/>
          </w:tcPr>
          <w:p>
            <w:pPr>
              <w:pStyle w:val="null3"/>
              <w:jc w:val="right"/>
            </w:pPr>
            <w:r>
              <w:rPr>
                <w:rFonts w:ascii="仿宋_GB2312" w:hAnsi="仿宋_GB2312" w:cs="仿宋_GB2312" w:eastAsia="仿宋_GB2312"/>
              </w:rPr>
              <w:t>121,000.00</w:t>
            </w:r>
          </w:p>
        </w:tc>
        <w:tc>
          <w:tcPr>
            <w:tcW w:type="dxa" w:w="831"/>
          </w:tcPr>
          <w:p>
            <w:pPr>
              <w:pStyle w:val="null3"/>
              <w:jc w:val="right"/>
            </w:pPr>
            <w:r>
              <w:rPr>
                <w:rFonts w:ascii="仿宋_GB2312" w:hAnsi="仿宋_GB2312" w:cs="仿宋_GB2312" w:eastAsia="仿宋_GB2312"/>
              </w:rPr>
              <w:t>2,299,000.00</w:t>
            </w:r>
          </w:p>
        </w:tc>
        <w:tc>
          <w:tcPr>
            <w:tcW w:type="dxa" w:w="831"/>
          </w:tcPr>
          <w:p>
            <w:pPr>
              <w:pStyle w:val="null3"/>
            </w:pPr>
            <w:r>
              <w:rPr>
                <w:rFonts w:ascii="仿宋_GB2312" w:hAnsi="仿宋_GB2312" w:cs="仿宋_GB2312" w:eastAsia="仿宋_GB2312"/>
              </w:rPr>
              <w:t>亩</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标的名称：临渭区2026年小麦一喷三防（服务采购）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3"/>
              <w:jc w:val="left"/>
            </w:pPr>
            <w:r>
              <w:rPr>
                <w:rFonts w:ascii="仿宋_GB2312" w:hAnsi="仿宋_GB2312" w:cs="仿宋_GB2312" w:eastAsia="仿宋_GB2312"/>
              </w:rPr>
              <w:t>1.服务内容</w:t>
            </w:r>
          </w:p>
          <w:p>
            <w:pPr>
              <w:pStyle w:val="null3"/>
            </w:pPr>
            <w:r>
              <w:rPr>
                <w:rFonts w:ascii="仿宋_GB2312" w:hAnsi="仿宋_GB2312" w:cs="仿宋_GB2312" w:eastAsia="仿宋_GB2312"/>
              </w:rPr>
              <w:t>在小麦重大病虫害发生关键期开展统一防治，完成小麦“一喷三防”防治服务。</w:t>
            </w:r>
          </w:p>
          <w:p>
            <w:pPr>
              <w:pStyle w:val="null3"/>
            </w:pPr>
            <w:r>
              <w:rPr>
                <w:rFonts w:ascii="仿宋_GB2312" w:hAnsi="仿宋_GB2312" w:cs="仿宋_GB2312" w:eastAsia="仿宋_GB2312"/>
              </w:rPr>
              <w:t>2.防治服务</w:t>
            </w:r>
          </w:p>
          <w:p>
            <w:pPr>
              <w:pStyle w:val="null3"/>
            </w:pPr>
            <w:r>
              <w:rPr>
                <w:rFonts w:ascii="仿宋_GB2312" w:hAnsi="仿宋_GB2312" w:cs="仿宋_GB2312" w:eastAsia="仿宋_GB2312"/>
              </w:rPr>
              <w:t>2.1 防治服务要求</w:t>
            </w:r>
          </w:p>
          <w:p>
            <w:pPr>
              <w:pStyle w:val="null3"/>
            </w:pPr>
            <w:r>
              <w:rPr>
                <w:rFonts w:ascii="仿宋_GB2312" w:hAnsi="仿宋_GB2312" w:cs="仿宋_GB2312" w:eastAsia="仿宋_GB2312"/>
              </w:rPr>
              <w:t>（1）植保器械先进，作业能力强，制度健全，管理规范；</w:t>
            </w:r>
          </w:p>
          <w:p>
            <w:pPr>
              <w:pStyle w:val="null3"/>
            </w:pPr>
            <w:r>
              <w:rPr>
                <w:rFonts w:ascii="仿宋_GB2312" w:hAnsi="仿宋_GB2312" w:cs="仿宋_GB2312" w:eastAsia="仿宋_GB2312"/>
              </w:rPr>
              <w:t>（2）针对2026年小麦中后期病虫发生特点，制定的技术方案和工作方案科学有效；</w:t>
            </w:r>
          </w:p>
          <w:p>
            <w:pPr>
              <w:pStyle w:val="null3"/>
            </w:pPr>
            <w:r>
              <w:rPr>
                <w:rFonts w:ascii="仿宋_GB2312" w:hAnsi="仿宋_GB2312" w:cs="仿宋_GB2312" w:eastAsia="仿宋_GB2312"/>
              </w:rPr>
              <w:t>（3）主要防治对象：以小麦赤霉病、条锈病、白粉病、蚜虫、吸浆虫为主。</w:t>
            </w:r>
          </w:p>
          <w:p>
            <w:pPr>
              <w:pStyle w:val="null3"/>
            </w:pPr>
            <w:r>
              <w:rPr>
                <w:rFonts w:ascii="仿宋_GB2312" w:hAnsi="仿宋_GB2312" w:cs="仿宋_GB2312" w:eastAsia="仿宋_GB2312"/>
              </w:rPr>
              <w:t>（4）服务包括采购药剂及防治服务，选择的药剂使用要求同下表，必须增加飞防助剂，要符合国家标准，三证齐全，高效低毒、安全环保。</w:t>
            </w:r>
          </w:p>
          <w:p>
            <w:pPr>
              <w:pStyle w:val="null3"/>
            </w:pPr>
            <w:r>
              <w:rPr>
                <w:rFonts w:ascii="仿宋_GB2312" w:hAnsi="仿宋_GB2312" w:cs="仿宋_GB2312" w:eastAsia="仿宋_GB2312"/>
              </w:rPr>
              <w:t>（5）要在小麦中后期病虫害防治的关键时期完成防治任务，项目区统防面积达到应防面积的100%（不少于12.1万亩），总体防效达85%以上，危害损失率控制在4%以内。</w:t>
            </w:r>
          </w:p>
          <w:p>
            <w:pPr>
              <w:pStyle w:val="null3"/>
            </w:pPr>
            <w:r>
              <w:rPr>
                <w:rFonts w:ascii="仿宋_GB2312" w:hAnsi="仿宋_GB2312" w:cs="仿宋_GB2312" w:eastAsia="仿宋_GB2312"/>
              </w:rPr>
              <w:t>（6）农药助剂选用飞防助剂，防治作业器械选用植保无人机或自走式喷杆喷雾机。</w:t>
            </w:r>
          </w:p>
          <w:p>
            <w:pPr>
              <w:pStyle w:val="null3"/>
            </w:pPr>
            <w:r>
              <w:rPr>
                <w:rFonts w:ascii="仿宋_GB2312" w:hAnsi="仿宋_GB2312" w:cs="仿宋_GB2312" w:eastAsia="仿宋_GB2312"/>
              </w:rPr>
              <w:t>2.2 服务面积</w:t>
            </w:r>
          </w:p>
          <w:p>
            <w:pPr>
              <w:pStyle w:val="null3"/>
            </w:pPr>
            <w:r>
              <w:rPr>
                <w:rFonts w:ascii="仿宋_GB2312" w:hAnsi="仿宋_GB2312" w:cs="仿宋_GB2312" w:eastAsia="仿宋_GB2312"/>
              </w:rPr>
              <w:t>在渭北八镇，围绕“吨粮镇”“吨粮村”、小麦“百千万”示范田、“三主融合”展示田、规模种植示范田、核心示范方、新型农业经营主体集中连片种植区等区域，对小麦开展统防统治服务。服务面积不少于12.1万亩。</w:t>
            </w:r>
          </w:p>
          <w:p>
            <w:pPr>
              <w:pStyle w:val="null3"/>
            </w:pPr>
            <w:r>
              <w:rPr>
                <w:rFonts w:ascii="仿宋_GB2312" w:hAnsi="仿宋_GB2312" w:cs="仿宋_GB2312" w:eastAsia="仿宋_GB2312"/>
              </w:rPr>
              <w:t>2.3使用药剂要求</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药剂名称</w:t>
                  </w:r>
                </w:p>
              </w:tc>
              <w:tc>
                <w:tcPr>
                  <w:tcW w:type="dxa" w:w="638"/>
                </w:tcPr>
                <w:p>
                  <w:pPr>
                    <w:pStyle w:val="null3"/>
                  </w:pPr>
                  <w:r>
                    <w:rPr>
                      <w:rFonts w:ascii="仿宋_GB2312" w:hAnsi="仿宋_GB2312" w:cs="仿宋_GB2312" w:eastAsia="仿宋_GB2312"/>
                    </w:rPr>
                    <w:t>数量</w:t>
                  </w:r>
                </w:p>
              </w:tc>
              <w:tc>
                <w:tcPr>
                  <w:tcW w:type="dxa" w:w="638"/>
                </w:tcPr>
                <w:p>
                  <w:pPr>
                    <w:pStyle w:val="null3"/>
                  </w:pPr>
                  <w:r>
                    <w:rPr>
                      <w:rFonts w:ascii="仿宋_GB2312" w:hAnsi="仿宋_GB2312" w:cs="仿宋_GB2312" w:eastAsia="仿宋_GB2312"/>
                    </w:rPr>
                    <w:t>技术指标、参数</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杀虫剂</w:t>
                  </w:r>
                </w:p>
              </w:tc>
              <w:tc>
                <w:tcPr>
                  <w:tcW w:type="dxa" w:w="638"/>
                </w:tcPr>
                <w:p>
                  <w:pPr>
                    <w:pStyle w:val="null3"/>
                  </w:pPr>
                  <w:r>
                    <w:rPr>
                      <w:rFonts w:ascii="仿宋_GB2312" w:hAnsi="仿宋_GB2312" w:cs="仿宋_GB2312" w:eastAsia="仿宋_GB2312"/>
                    </w:rPr>
                    <w:t>按农业部登记的推荐剂量，不少于12.1万亩。</w:t>
                  </w:r>
                </w:p>
              </w:tc>
              <w:tc>
                <w:tcPr>
                  <w:tcW w:type="dxa" w:w="638"/>
                </w:tcPr>
                <w:p>
                  <w:pPr>
                    <w:pStyle w:val="null3"/>
                  </w:pPr>
                  <w:r>
                    <w:rPr>
                      <w:rFonts w:ascii="仿宋_GB2312" w:hAnsi="仿宋_GB2312" w:cs="仿宋_GB2312" w:eastAsia="仿宋_GB2312"/>
                    </w:rPr>
                    <w:t>高效氯氟氰菊酯、氟啶虫酰胺、呋虫胺、噻虫嗪、噻虫胺等药剂的复配制剂。</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杀菌剂</w:t>
                  </w:r>
                </w:p>
              </w:tc>
              <w:tc>
                <w:tcPr>
                  <w:tcW w:type="dxa" w:w="638"/>
                </w:tcPr>
                <w:p>
                  <w:pPr>
                    <w:pStyle w:val="null3"/>
                  </w:pPr>
                  <w:r>
                    <w:rPr>
                      <w:rFonts w:ascii="仿宋_GB2312" w:hAnsi="仿宋_GB2312" w:cs="仿宋_GB2312" w:eastAsia="仿宋_GB2312"/>
                    </w:rPr>
                    <w:t>按农业部登记的推荐剂量，不少于12.1万亩。</w:t>
                  </w:r>
                </w:p>
              </w:tc>
              <w:tc>
                <w:tcPr>
                  <w:tcW w:type="dxa" w:w="638"/>
                </w:tcPr>
                <w:p>
                  <w:pPr>
                    <w:pStyle w:val="null3"/>
                  </w:pPr>
                  <w:r>
                    <w:rPr>
                      <w:rFonts w:ascii="仿宋_GB2312" w:hAnsi="仿宋_GB2312" w:cs="仿宋_GB2312" w:eastAsia="仿宋_GB2312"/>
                    </w:rPr>
                    <w:t>氰烯菌酯或丙硫菌唑及其复配剂。</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叶面肥</w:t>
                  </w:r>
                </w:p>
              </w:tc>
              <w:tc>
                <w:tcPr>
                  <w:tcW w:type="dxa" w:w="638"/>
                </w:tcPr>
                <w:p>
                  <w:pPr>
                    <w:pStyle w:val="null3"/>
                  </w:pPr>
                  <w:r>
                    <w:rPr>
                      <w:rFonts w:ascii="仿宋_GB2312" w:hAnsi="仿宋_GB2312" w:cs="仿宋_GB2312" w:eastAsia="仿宋_GB2312"/>
                    </w:rPr>
                    <w:t>按农业部登记的推荐剂量，不少于12.1万亩。</w:t>
                  </w:r>
                </w:p>
              </w:tc>
              <w:tc>
                <w:tcPr>
                  <w:tcW w:type="dxa" w:w="638"/>
                </w:tcPr>
                <w:p>
                  <w:pPr>
                    <w:pStyle w:val="null3"/>
                  </w:pPr>
                  <w:r>
                    <w:rPr>
                      <w:rFonts w:ascii="仿宋_GB2312" w:hAnsi="仿宋_GB2312" w:cs="仿宋_GB2312" w:eastAsia="仿宋_GB2312"/>
                    </w:rPr>
                    <w:t>磷酸二氢钾含腐殖酸/氨基酸的水溶肥。</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生长调节剂</w:t>
                  </w:r>
                </w:p>
              </w:tc>
              <w:tc>
                <w:tcPr>
                  <w:tcW w:type="dxa" w:w="638"/>
                </w:tcPr>
                <w:p>
                  <w:pPr>
                    <w:pStyle w:val="null3"/>
                  </w:pPr>
                  <w:r>
                    <w:rPr>
                      <w:rFonts w:ascii="仿宋_GB2312" w:hAnsi="仿宋_GB2312" w:cs="仿宋_GB2312" w:eastAsia="仿宋_GB2312"/>
                    </w:rPr>
                    <w:t>按农业部登记的推荐剂量，不少于12.1万亩。</w:t>
                  </w:r>
                </w:p>
              </w:tc>
              <w:tc>
                <w:tcPr>
                  <w:tcW w:type="dxa" w:w="638"/>
                </w:tcPr>
                <w:p>
                  <w:pPr>
                    <w:pStyle w:val="null3"/>
                  </w:pPr>
                  <w:r>
                    <w:rPr>
                      <w:rFonts w:ascii="仿宋_GB2312" w:hAnsi="仿宋_GB2312" w:cs="仿宋_GB2312" w:eastAsia="仿宋_GB2312"/>
                    </w:rPr>
                    <w:t>芸苔素内酯或氨基寡糖素。</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农药助剂</w:t>
                  </w:r>
                </w:p>
              </w:tc>
              <w:tc>
                <w:tcPr>
                  <w:tcW w:type="dxa" w:w="638"/>
                </w:tcPr>
                <w:p>
                  <w:pPr>
                    <w:pStyle w:val="null3"/>
                  </w:pPr>
                  <w:r>
                    <w:rPr>
                      <w:rFonts w:ascii="仿宋_GB2312" w:hAnsi="仿宋_GB2312" w:cs="仿宋_GB2312" w:eastAsia="仿宋_GB2312"/>
                    </w:rPr>
                    <w:t>按农业部登记的推荐剂量，不少于12.1万亩。</w:t>
                  </w:r>
                </w:p>
              </w:tc>
              <w:tc>
                <w:tcPr>
                  <w:tcW w:type="dxa" w:w="638"/>
                </w:tcPr>
                <w:p>
                  <w:pPr>
                    <w:pStyle w:val="null3"/>
                  </w:pPr>
                  <w:r>
                    <w:rPr>
                      <w:rFonts w:ascii="仿宋_GB2312" w:hAnsi="仿宋_GB2312" w:cs="仿宋_GB2312" w:eastAsia="仿宋_GB2312"/>
                    </w:rPr>
                    <w:t>飞防助剂</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注：最终结算面积为总价除以单价，如存在小数点后位数则向上进位取整数精确至个位数整数面积</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后，中标人派驻一名项目负责人，一名技术负责人对作业过程中作业进度、服务质量、作业人员管理进行总协调，确保技术措施的落实，按时参加采购人组织的相关会议和活动，服从采购人的工作制度和工作规范。</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渭南市临渭区（采购人指定地点）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1.质量标准：防治服务达到国家及行业验收合格标准。 2.存在未防、漏防、防治效果未达到项目要求的，立即进行人工地面补防，如因未防、漏防、飞防未达到要求的或造成损失的，由供应商承担相应的法律责任。 3.本项目由采购人及相关部门定期对项目进行阶段性验收。 4.验收标准：按采购文件、投标文件及澄清函、项目检查情况等综合指标进行验收。各项指标均应符合验收标准及要求。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服务结束后经采购人邀请相关部门验收合格后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合同另行约定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纸质版文件要求：中标（成交）供应商在中标（成交）结果公告发布后3个工作日内提供叁套纸质投标文件（经编标工具生成的文件直接打印并加盖公章），递交的纸质版文件内容确保与线上电子文件保持一致，不允许修改和补充；（2）根据《政府采购法实施条例》释义，银行、保险、石油石化、电力、电信等有行业特殊情况的，允许法人的分支机构参加政府采购活动；（3）本项目所属行业：农、林、牧、渔业，根据关于印发中小企业划型标准规定的通知 （工信部联企业〔2011〕300号）中小企业划型标准规定：（一）农、林、牧、渔业。营业收入20000万元以下的为中小微型企业。其中，营业收入500万元及以上的为中型企业，营业收入50万元及以上的为小型企业，营业收入50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供应商需提供合法有效，具有独立承担民事责任的能力且具备向采购人提供相关服务的证明资料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w:t>
            </w:r>
          </w:p>
        </w:tc>
        <w:tc>
          <w:tcPr>
            <w:tcW w:type="dxa" w:w="3322"/>
          </w:tcPr>
          <w:p>
            <w:pPr>
              <w:pStyle w:val="null3"/>
            </w:pPr>
            <w:r>
              <w:rPr>
                <w:rFonts w:ascii="仿宋_GB2312" w:hAnsi="仿宋_GB2312" w:cs="仿宋_GB2312" w:eastAsia="仿宋_GB2312"/>
              </w:rPr>
              <w:t>财务状况报告：提供具有财务审计资质单位出具的2025年度财务审计报告（成立时间至开标时间不足一年的可提供成立后任意时段的资产负债表）或投标文件截止时间前六个月内其基本账户银行出具的资信证明（附基本账户证明）或政府采购信用担保机构出具的投标担保函； 税收缴纳证明：提供投标文件递交截止时间前一年内任意一个月的缴费凭据；依法免税的应提供相关文件证明； 社会保障资金缴纳证明：提供投标文件递交截止时间前一年内任意一个月的社保缴费凭据或社保机构开具的社会保险参保缴费情况证明；依法不需要缴纳社会保障资金的供应商应提供相关文件证明；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三项内容可根据本招标文件格式要求出具承诺函，中标供应商的承诺函同中标结果一并公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提供具有履行本合同所必需的设备和专业技术能力的说明及承诺；（格式自拟，并签章）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参加政府采购活动前三年内在经营活动中无重大违法记录的书面声明；（格式自拟，并签章）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法定代表人参与投标时需提供法定代表人身份证明；被授权人参与投标时需提供法定代表人身份证明及法定代表人授权委托书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投标保证金交纳凭证</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本项目专门面向中小企业采购，所属行业：农、林、牧、渔业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应满足招标文件中要求的服务期限</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分项报价表.docx 服务内容及服务邀请应答表 投标函 中小企业声明函 残疾人福利性单位声明函 商务应答表 服务方案 标的清单 投标文件封面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分项报价表.docx 服务内容及服务邀请应答表 投标函 中小企业声明函 残疾人福利性单位声明函 商务应答表 服务方案 标的清单 投标文件封面 资格证明文件.docx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无其他作无效投标处理的情况</w:t>
            </w:r>
          </w:p>
        </w:tc>
        <w:tc>
          <w:tcPr>
            <w:tcW w:type="dxa" w:w="1661"/>
          </w:tcPr>
          <w:p>
            <w:pPr>
              <w:pStyle w:val="null3"/>
            </w:pPr>
            <w:r>
              <w:rPr>
                <w:rFonts w:ascii="仿宋_GB2312" w:hAnsi="仿宋_GB2312" w:cs="仿宋_GB2312" w:eastAsia="仿宋_GB2312"/>
              </w:rPr>
              <w:t>开标一览表 分项报价表.docx 服务内容及服务邀请应答表 投标函 中小企业声明函 残疾人福利性单位声明函 商务应答表 服务方案 标的清单 投标文件封面 资格证明文件.docx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评审内容： 供应商针对本项目制定的总体方案，包含①项目需求理解；②作业进度安排；③技术组织保障措施；④整体管理措施。 评审标准： 每一条评审内容不存在缺陷得3分；每有一条评审内容出现一处缺陷扣0.5分，扣完为止；未提供得0分。(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作业方法</w:t>
            </w:r>
          </w:p>
        </w:tc>
        <w:tc>
          <w:tcPr>
            <w:tcW w:type="dxa" w:w="2492"/>
          </w:tcPr>
          <w:p>
            <w:pPr>
              <w:pStyle w:val="null3"/>
            </w:pPr>
            <w:r>
              <w:rPr>
                <w:rFonts w:ascii="仿宋_GB2312" w:hAnsi="仿宋_GB2312" w:cs="仿宋_GB2312" w:eastAsia="仿宋_GB2312"/>
              </w:rPr>
              <w:t>评审内容： 方案包含①作业器械选择方案；②无人机作业方案；③自走式喷杆喷雾机作业方案。 评审标准： 按照供应商编制内容依据评审标准每项得3分；每有一项内容出现一处存在缺陷的扣0.5分，未提供得0分。(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 供应商针对本项目制定的总体方案，包含①作业面的划分；②病虫害防治。 评审标准： 每一条评审内容不存在缺陷得4分；每有一条评审内容出现一处缺陷扣0.5分，扣完为止；未提供得0分。(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 质量保证措施包含①服务质量保障体系；②药剂用量标准；③效果验收措施。 评审标准： 按照供应商编制内容依据评审标准每项得3分；每有一项内容出现一处存在缺陷的扣0.5分，未提供得0分。(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应急处理措施</w:t>
            </w:r>
          </w:p>
        </w:tc>
        <w:tc>
          <w:tcPr>
            <w:tcW w:type="dxa" w:w="2492"/>
          </w:tcPr>
          <w:p>
            <w:pPr>
              <w:pStyle w:val="null3"/>
            </w:pPr>
            <w:r>
              <w:rPr>
                <w:rFonts w:ascii="仿宋_GB2312" w:hAnsi="仿宋_GB2312" w:cs="仿宋_GB2312" w:eastAsia="仿宋_GB2312"/>
              </w:rPr>
              <w:t>评审内容： 包含：①在作业过程中出现突发问题的应急处置方案；②应急响应时间；③出现突发状况应急人员安排。 评审标准： 按照供应商编制内容依据评审标准每项得3分；每有一项内容出现一处存在缺陷的扣0.5分，未提供得0分。(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评审内容： 包含：①在作业过程中人员安全保障措施；②作业环境安全防范；③药剂使用安全保障。 评审标准： 按照供应商编制内容依据评审标准每项得3分；每有一项内容出现一处存在缺陷的扣0.5分，未提供得0分。(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投标人具有近三年（2023年1月至今）的类似业绩（合同扫描件并加盖投标人公章，以合同签订时间为准）每个计1分，最多得5分；未提供不得分。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针对本项目提出合理化建议，每提出一项有利于本项目实施的合理化建议得1分，本项最高得5分。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其他人员配备情况</w:t>
            </w:r>
          </w:p>
        </w:tc>
        <w:tc>
          <w:tcPr>
            <w:tcW w:type="dxa" w:w="2492"/>
          </w:tcPr>
          <w:p>
            <w:pPr>
              <w:pStyle w:val="null3"/>
            </w:pPr>
            <w:r>
              <w:rPr>
                <w:rFonts w:ascii="仿宋_GB2312" w:hAnsi="仿宋_GB2312" w:cs="仿宋_GB2312" w:eastAsia="仿宋_GB2312"/>
              </w:rPr>
              <w:t>项目组人员中（项目负责人除外）每具有一个农业方面专业技术人员得1分，本项最高得6分。提供人员专业技术能力证明材料，未提供不得分。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 供应商针对本项目制定的总体方案，包含①服务中严格按照国家及行业标准进行服务；②配合采购人进行汇报、验收、必要的外勤配合等工作；③及时响应本服务中采购人所需的远程指导及协助需求等施。 评审标准： 每一条评审内容不存在缺陷得3分；每有一条评审内容出现一处缺陷扣0.5分，扣完为止；未提供得0分。(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拟派项目负责人具有农业类相关专业高级证书得2分；具有农业类相关专业中级证书得1分。提供人员专业技术能力证明材料，未提供不得分。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满足招标文件要求且最后投标总报价最低的投标人的价格为基准价得20分，其他各投标人的最后报价得分按下列公式计算： 投标报价得分=（投标基准价/最后投标报价）×20%×100。 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