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版本号：ZCSP-临渭区-2026-0003520260209001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临渭区三张镇魏宋村小型社区体育健身活动中心项目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ZCSP-临渭区-2026-00035</w:t>
      </w:r>
      <w:r>
        <w:br/>
      </w:r>
      <w:r>
        <w:br/>
      </w:r>
      <w:r>
        <w:br/>
      </w:r>
    </w:p>
    <w:p>
      <w:pPr>
        <w:pStyle w:val="null3"/>
        <w:jc w:val="center"/>
        <w:outlineLvl w:val="2"/>
      </w:pPr>
      <w:r>
        <w:rPr>
          <w:rFonts w:ascii="仿宋_GB2312" w:hAnsi="仿宋_GB2312" w:cs="仿宋_GB2312" w:eastAsia="仿宋_GB2312"/>
          <w:sz w:val="28"/>
          <w:b/>
        </w:rPr>
        <w:t>陕西省渭南市临渭区三张镇人民政府</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陕西省渭南市临渭区三张镇人民政府</w:t>
      </w:r>
      <w:r>
        <w:rPr>
          <w:rFonts w:ascii="仿宋_GB2312" w:hAnsi="仿宋_GB2312" w:cs="仿宋_GB2312" w:eastAsia="仿宋_GB2312"/>
        </w:rPr>
        <w:t>委托，拟对</w:t>
      </w:r>
      <w:r>
        <w:rPr>
          <w:rFonts w:ascii="仿宋_GB2312" w:hAnsi="仿宋_GB2312" w:cs="仿宋_GB2312" w:eastAsia="仿宋_GB2312"/>
        </w:rPr>
        <w:t>临渭区三张镇魏宋村小型社区体育健身活动中心项目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ZCSP-临渭区-2026-00035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临渭区三张镇魏宋村小型社区体育健身活动中心项目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拟建设临渭区三张镇魏宋村小型社区体育健身活动中心，推动基层群体体育活动深入持久开展，实现全民健身和全民健康协同发展。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采购包1（临渭区三张镇魏宋村小型社区体育健身活动中心项目）：属于专门面向中小企业采购。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1、企业资质：供应商须具备建筑工程施工总承包三级（含三级）及以上资质，并具有有效的安全生产许可证；</w:t>
      </w:r>
    </w:p>
    <w:p>
      <w:pPr>
        <w:pStyle w:val="null3"/>
      </w:pPr>
      <w:r>
        <w:rPr>
          <w:rFonts w:ascii="仿宋_GB2312" w:hAnsi="仿宋_GB2312" w:cs="仿宋_GB2312" w:eastAsia="仿宋_GB2312"/>
        </w:rPr>
        <w:t>2、项目经理：拟派项目经理须具有建筑工程二级（含二级）及以上注册建造师资格并具有有效的安全生产考核合格证，且无在建工程；</w:t>
      </w:r>
    </w:p>
    <w:p>
      <w:pPr>
        <w:pStyle w:val="null3"/>
      </w:pPr>
      <w:r>
        <w:rPr>
          <w:rFonts w:ascii="仿宋_GB2312" w:hAnsi="仿宋_GB2312" w:cs="仿宋_GB2312" w:eastAsia="仿宋_GB2312"/>
        </w:rPr>
        <w:t>3、法定代表人身份证明书/法定代表人授权书：法定代表人参与磋商时需提供法定代表人身份证明书；被授权人参与磋商时需提供法定代表人身份证明书及法定代表人授权委托书；</w:t>
      </w:r>
    </w:p>
    <w:p>
      <w:pPr>
        <w:pStyle w:val="null3"/>
      </w:pPr>
      <w:r>
        <w:rPr>
          <w:rFonts w:ascii="仿宋_GB2312" w:hAnsi="仿宋_GB2312" w:cs="仿宋_GB2312" w:eastAsia="仿宋_GB2312"/>
        </w:rPr>
        <w:t>4、磋商保证金：磋商保证金交纳凭证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陕西省渭南市临渭区三张镇人民政府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临渭区三张镇三张街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0913-3039932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采购包1：999,677.10元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采购包1保证金金额：9,900.00元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取费依据：按照《国家发展改革委关于进一步放开建设项目专业服务价格的通知》（发改价格﹝2015﹞299号）的要求，参照计价格﹝2002﹞1980号、发改价格﹝2011﹞534号文件的计费标准，以中标（成交）价为基数计算，按照标准收取。 2）预算编制费取费依据：参照陕价行发〔2024〕88号文件规定计取。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陕西省渭南市临渭区三张镇人民政府</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陕西省渭南市临渭区三张镇人民政府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陕西省渭南市临渭区三张镇人民政府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1、本工程应按工程量清单及磋商文件全部内容完成。 2、本工程验收标准应符合国家相关工程管理规定及行业标准。 3、依据磋商文件及成交人响应文件及签证单等文件内容进行验收。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联系人：董鹏飞</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999,677.10</w:t>
      </w:r>
    </w:p>
    <w:p>
      <w:pPr>
        <w:pStyle w:val="null3"/>
      </w:pPr>
      <w:r>
        <w:rPr>
          <w:rFonts w:ascii="仿宋_GB2312" w:hAnsi="仿宋_GB2312" w:cs="仿宋_GB2312" w:eastAsia="仿宋_GB2312"/>
        </w:rPr>
        <w:t>采购包最高限价（元）: 999,677.10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临渭区三张镇魏宋村小型社区体育健身活动中心建设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999,677.10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标的名称：临渭区三张镇魏宋村小型社区体育健身活动中心建设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1、项目概况</w:t>
            </w:r>
          </w:p>
          <w:p>
            <w:pPr>
              <w:pStyle w:val="null3"/>
            </w:pPr>
            <w:r>
              <w:rPr>
                <w:rFonts w:ascii="仿宋_GB2312" w:hAnsi="仿宋_GB2312" w:cs="仿宋_GB2312" w:eastAsia="仿宋_GB2312"/>
              </w:rPr>
              <w:t>拟建设临渭区三张镇魏宋村小型社区体育健身活动中心，推动基层群体体育活动深入持久开展，实现全民健身和全民健康协同发展。</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2、商务要求</w:t>
            </w:r>
          </w:p>
          <w:p>
            <w:pPr>
              <w:pStyle w:val="null3"/>
            </w:pPr>
            <w:r>
              <w:rPr>
                <w:rFonts w:ascii="仿宋_GB2312" w:hAnsi="仿宋_GB2312" w:cs="仿宋_GB2312" w:eastAsia="仿宋_GB2312"/>
              </w:rPr>
              <w:t>（1）工程建设地点：临渭区三张镇</w:t>
            </w:r>
          </w:p>
          <w:p>
            <w:pPr>
              <w:pStyle w:val="null3"/>
            </w:pPr>
            <w:r>
              <w:rPr>
                <w:rFonts w:ascii="仿宋_GB2312" w:hAnsi="仿宋_GB2312" w:cs="仿宋_GB2312" w:eastAsia="仿宋_GB2312"/>
              </w:rPr>
              <w:t>（2）工期：90日历天</w:t>
            </w:r>
          </w:p>
          <w:p>
            <w:pPr>
              <w:pStyle w:val="null3"/>
            </w:pPr>
            <w:r>
              <w:rPr>
                <w:rFonts w:ascii="仿宋_GB2312" w:hAnsi="仿宋_GB2312" w:cs="仿宋_GB2312" w:eastAsia="仿宋_GB2312"/>
              </w:rPr>
              <w:t>（3）质保期：自验收合格之日起一年，质量保修期自工程竣工验收合格之日起计算。</w:t>
            </w:r>
          </w:p>
          <w:p>
            <w:pPr>
              <w:pStyle w:val="null3"/>
            </w:pPr>
            <w:r>
              <w:rPr>
                <w:rFonts w:ascii="仿宋_GB2312" w:hAnsi="仿宋_GB2312" w:cs="仿宋_GB2312" w:eastAsia="仿宋_GB2312"/>
              </w:rPr>
              <w:t>（4）质量标准：合格，按照《建设工程质量管理条例》及有关规定执行。</w:t>
            </w:r>
          </w:p>
          <w:p>
            <w:pPr>
              <w:pStyle w:val="null3"/>
            </w:pPr>
            <w:r>
              <w:rPr>
                <w:rFonts w:ascii="仿宋_GB2312" w:hAnsi="仿宋_GB2312" w:cs="仿宋_GB2312" w:eastAsia="仿宋_GB2312"/>
              </w:rPr>
              <w:t>（5）付款方式：本工程依据工程进度按比例将进度应付款支付给供应商。首次付款比例不低于40%，工程完工后，进度款拨付至供应商合同总金额的90%；本工程竣工验收后需要进行结算审核，最终的结算审定金额为本工程的最终合同价款；结算审核完成后，支付剩余工程价款。</w:t>
            </w:r>
          </w:p>
          <w:p>
            <w:pPr>
              <w:pStyle w:val="null3"/>
            </w:pPr>
            <w:r>
              <w:rPr>
                <w:rFonts w:ascii="仿宋_GB2312" w:hAnsi="仿宋_GB2312" w:cs="仿宋_GB2312" w:eastAsia="仿宋_GB2312"/>
              </w:rPr>
              <w:t>3、工程施工要求</w:t>
            </w:r>
          </w:p>
          <w:p>
            <w:pPr>
              <w:pStyle w:val="null3"/>
            </w:pPr>
            <w:r>
              <w:rPr>
                <w:rFonts w:ascii="仿宋_GB2312" w:hAnsi="仿宋_GB2312" w:cs="仿宋_GB2312" w:eastAsia="仿宋_GB2312"/>
              </w:rPr>
              <w:t>3.1 施工组织实施保障要求</w:t>
            </w:r>
          </w:p>
          <w:p>
            <w:pPr>
              <w:pStyle w:val="null3"/>
            </w:pPr>
            <w:r>
              <w:rPr>
                <w:rFonts w:ascii="仿宋_GB2312" w:hAnsi="仿宋_GB2312" w:cs="仿宋_GB2312" w:eastAsia="仿宋_GB2312"/>
              </w:rPr>
              <w:t>（1）人员配备合理。有针对本项目的项目团队，项目负责人、配备人员分工明确（应有具体成员名单，包括姓名、工作职责等），施工现场关键岗位人员（项目经理、项目技术负责人、专职安全员、质量员、材料员）必须为实名制管理，否则，给采购人造成的损失由供应商全权负责。</w:t>
            </w:r>
          </w:p>
          <w:p>
            <w:pPr>
              <w:pStyle w:val="null3"/>
            </w:pPr>
            <w:r>
              <w:rPr>
                <w:rFonts w:ascii="仿宋_GB2312" w:hAnsi="仿宋_GB2312" w:cs="仿宋_GB2312" w:eastAsia="仿宋_GB2312"/>
              </w:rPr>
              <w:t>（2）有各类突发事件的应急预案和措施，有明确具体的承诺。</w:t>
            </w:r>
          </w:p>
          <w:p>
            <w:pPr>
              <w:pStyle w:val="null3"/>
            </w:pPr>
            <w:r>
              <w:rPr>
                <w:rFonts w:ascii="仿宋_GB2312" w:hAnsi="仿宋_GB2312" w:cs="仿宋_GB2312" w:eastAsia="仿宋_GB2312"/>
              </w:rPr>
              <w:t>（3）供应商所拟派的工作人员，若在施工期间发生任何伤害，采购人概不负责，由供应商自行处理。</w:t>
            </w:r>
          </w:p>
          <w:p>
            <w:pPr>
              <w:pStyle w:val="null3"/>
            </w:pPr>
            <w:r>
              <w:rPr>
                <w:rFonts w:ascii="仿宋_GB2312" w:hAnsi="仿宋_GB2312" w:cs="仿宋_GB2312" w:eastAsia="仿宋_GB2312"/>
              </w:rPr>
              <w:t>3.2 施工材料要求</w:t>
            </w:r>
          </w:p>
          <w:p>
            <w:pPr>
              <w:pStyle w:val="null3"/>
            </w:pPr>
            <w:r>
              <w:rPr>
                <w:rFonts w:ascii="仿宋_GB2312" w:hAnsi="仿宋_GB2312" w:cs="仿宋_GB2312" w:eastAsia="仿宋_GB2312"/>
              </w:rPr>
              <w:t>（1）施工中所使用的设备、材料、器件等应符合相关的国家标准和设计要求，取得供货商的产品合格证后方可使用，具备条件的可抽样送检合格后投入使用。</w:t>
            </w:r>
          </w:p>
          <w:p>
            <w:pPr>
              <w:pStyle w:val="null3"/>
            </w:pPr>
            <w:r>
              <w:rPr>
                <w:rFonts w:ascii="仿宋_GB2312" w:hAnsi="仿宋_GB2312" w:cs="仿宋_GB2312" w:eastAsia="仿宋_GB2312"/>
              </w:rPr>
              <w:t>（2）施工中,应做好材料设备、隐蔽工程和分项工程等中间环节的质量验收。隐蔽工程在验收合格后，方可进行下一道工序的施工。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《建筑结构荷载规范》GB50009-2022; 《混凝土结构设计规范》GB50010-2010(2024 年版); 《建筑抗震设防分类标准》GB50223-2019; 《建筑抗震设计规范》GB50011-2010(2024 年版); 《建筑地基基础设计规范》GB50007-2011; 《砌体结构设计规范》GB50003-2011； 《室外给水设计规范》GB50013-2018； 《室外排水设计规范》GB50014-2021； 《建筑给水排水设计规范》GB50015-2019； 《建筑设计防火规范》GB50016-2014-2018版； 《建筑防火通用规范》GB 55037-2022 《供配电系统设计规范》GB50052-2009; 《低压配电设计规范》GB50054-2011; 《民用建筑电气设计标准》GB51348-2019; 《建筑照明设计标准》GB/T50034-2024; 《建筑物防雷设计规范》GB50057-2010; 《民用建筑设计统一标准》（GB50352-2019） 《消防应急照明和疏散指示系统技术标准》(GB51309-2018) 《民用建筑工程室内环境污染控制规范》（GB50325-2020） 《建筑内部装修设计防火规范》GB50222-2017 《建筑工程设计文件编制深度规定》（2016 年版） 其他相关的国家现行有关设计规范、规程和地方法规、标准。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（1）项目建设相关要求：严格执行国家相关标准、行业标准、地方标准等。 （2）投标人所有与本项目有关的技术标准均应不低于已颁布的国家和行业标准，或相应的国际标准的有关条文。使用最新的专利和保密专利需特别说明。</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根据《政府采购法实施条例》释义，银行、保险、石油石化、电力、电信等有行业特殊情况的，允许法人的分支机构参加政府采购活动。2.中标（成交）供应商在中标（成交）结果公告发布后3个工作日内提供叁套纸质投标文件（经编标工具生成的文件直接打印并加盖公章），递交的纸质版文件内容确保与线上电子文件保持一致，不允许修改和补充。 3.成交供应商应在磋商会议结束后3日内向采购人提交最终版《工程量清单表》，供应商最终版《工程量清单表》中的总报价应与最终磋商总报价保持一致。 4.中小企业划型标准：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或2025年度财务审计报告（成立时间至开标时间不足一年的可提供成立后任意时段的资产负债表）或响应文件递交截止时间前六个月内其基本账户银行出具的资信证明（附基本账户证明）或政府采购信用担保机构出具的投标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参加政府采购活动前三年内在经营活动中无重大违法记录（提供书面声明，格式自拟）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本项目专门面向中小企业采购，本项目所属行业：建筑业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拟派项目经理须具有建筑工程二级（含二级）及以上注册建造师资格并具有有效的安全生产考核合格证，且无在建工程；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项目管理机构组成表 供应商资格证明文件.docx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法定代表人参与磋商时需提供法定代表人身份证明书；被授权人参与磋商时需提供法定代表人身份证明书及法定代表人授权委托书；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技术服务合同条款及其他商务要求应答表.docx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对招标内容的响应程度</w:t>
            </w:r>
          </w:p>
        </w:tc>
        <w:tc>
          <w:tcPr>
            <w:tcW w:type="dxa" w:w="3322"/>
          </w:tcPr>
          <w:p>
            <w:pPr>
              <w:pStyle w:val="null3"/>
            </w:pPr>
            <w:r>
              <w:rPr>
                <w:rFonts w:ascii="仿宋_GB2312" w:hAnsi="仿宋_GB2312" w:cs="仿宋_GB2312" w:eastAsia="仿宋_GB2312"/>
              </w:rPr>
              <w:t>要求实质性条款及商务要求的内容全部响应，不能有采购人不能接受的附加条件</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无其他无效磋商处理的情况</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评审得分相同的，按照最后报价由低到高的顺序推荐。评审得分且最后报价相同的，按照技术指标优劣顺序推荐。评审得分且最后报价且技术指标得分均相同的，由磋商小组无记名投票推荐。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①施工总平面布置； ②施工阶段划分及施工顺序安排； ③资源配备计划：主要施工机械设备、劳动力等配备计划及主材进场计划； （二）评审标准： （1）每项评审内容完整无缺陷得3分，满分9分；未提供得0分；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①施工准备； ②施工方法及相关技术措施； ③重点难点工程分析及解决措施。 （二）评审标准： （1）每项评审内容完整无缺陷得3分，满分9分；未提供得0分；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①施工进度计划； ②工期保障措施； ③各个进度衔接的保证措施。 （二）评审标准： （1）每项评审内容完整无缺陷得3分，满分9分；未提供得0分；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①质量管理体系； ②施工质量保障措施。 （二）评审标准： （1）每项评审内容完整无缺陷得3分，满分6分；未提供得0分；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①安全生产管理体系；②安全生产责任制度和安全教育培训制度；③各道工序安全技术措施。 （二）评审标准： （1）每项评审内容完整无缺陷得3分，满分9分；未提供得0分；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（一）评审内容：①环境卫生管理制度；②防尘降噪措施； ③文明施工及环境保护措施。 （二）评审标准： （1）每项评审内容完整无缺陷得3分，满分9分；未提供得0分；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（1）人员配备：拟投入的项目管理机构人员结构合理、岗位职责明确，除项目经理外，项目管理机构每配备1人得0.5分，本项最高得5分； （2）人员职称：项目管理人员中，每具有一个工程类高级职称人员得1.5分，每具有一个工程类中级职称人员得1分,本项最高得4分。 注：须提供人员相关证件，不提供得0分。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供应商近三年（2023年2月至今）每具有1项类似业绩得1分，最多得5分，未提供得0分。（提供合同复印件加盖公章，以合同签订时间为准）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满足竞争性磋商文件要求且磋商价格最低的最终磋商报价为磋商基准价，得满分35分； (3) 磋商报价得分=(磋商基准价／最终磋商报价)×35%×100。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