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2F058">
      <w:pPr>
        <w:jc w:val="center"/>
        <w:rPr>
          <w:rFonts w:hint="eastAsia"/>
          <w:b/>
          <w:bCs/>
          <w:sz w:val="32"/>
          <w:szCs w:val="40"/>
        </w:rPr>
      </w:pPr>
      <w:r>
        <w:rPr>
          <w:rFonts w:hint="eastAsia"/>
          <w:b/>
          <w:bCs/>
          <w:sz w:val="32"/>
          <w:szCs w:val="40"/>
        </w:rPr>
        <w:t>技术、服务、合同条款及其他商务要求应答表</w:t>
      </w:r>
    </w:p>
    <w:tbl>
      <w:tblPr>
        <w:tblStyle w:val="4"/>
        <w:tblW w:w="48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5648"/>
        <w:gridCol w:w="1116"/>
        <w:gridCol w:w="896"/>
      </w:tblGrid>
      <w:tr w14:paraId="3DD3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36C8D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1"/>
                <w:szCs w:val="21"/>
              </w:rPr>
            </w:pPr>
            <w:r>
              <w:rPr>
                <w:rFonts w:hint="eastAsia" w:ascii="宋体" w:hAnsi="宋体" w:cs="宋体"/>
                <w:b/>
                <w:bCs/>
                <w:sz w:val="21"/>
                <w:szCs w:val="21"/>
              </w:rPr>
              <w:t>序号</w:t>
            </w:r>
          </w:p>
        </w:tc>
        <w:tc>
          <w:tcPr>
            <w:tcW w:w="3397" w:type="pct"/>
            <w:tcBorders>
              <w:top w:val="single" w:color="auto" w:sz="4" w:space="0"/>
              <w:left w:val="single" w:color="auto" w:sz="4" w:space="0"/>
              <w:bottom w:val="single" w:color="auto" w:sz="4" w:space="0"/>
              <w:right w:val="single" w:color="auto" w:sz="4" w:space="0"/>
            </w:tcBorders>
            <w:vAlign w:val="center"/>
          </w:tcPr>
          <w:p w14:paraId="51D48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项目</w:t>
            </w:r>
          </w:p>
        </w:tc>
        <w:tc>
          <w:tcPr>
            <w:tcW w:w="671" w:type="pct"/>
            <w:tcBorders>
              <w:top w:val="single" w:color="auto" w:sz="4" w:space="0"/>
              <w:left w:val="single" w:color="auto" w:sz="4" w:space="0"/>
              <w:bottom w:val="single" w:color="auto" w:sz="4" w:space="0"/>
              <w:right w:val="single" w:color="auto" w:sz="4" w:space="0"/>
            </w:tcBorders>
            <w:vAlign w:val="center"/>
          </w:tcPr>
          <w:p w14:paraId="623E4C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响应内容</w:t>
            </w:r>
          </w:p>
        </w:tc>
        <w:tc>
          <w:tcPr>
            <w:tcW w:w="539" w:type="pct"/>
            <w:tcBorders>
              <w:top w:val="single" w:color="auto" w:sz="4" w:space="0"/>
              <w:left w:val="single" w:color="auto" w:sz="4" w:space="0"/>
              <w:bottom w:val="single" w:color="auto" w:sz="4" w:space="0"/>
              <w:right w:val="single" w:color="auto" w:sz="4" w:space="0"/>
            </w:tcBorders>
            <w:vAlign w:val="center"/>
          </w:tcPr>
          <w:p w14:paraId="0FC540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b/>
                <w:bCs/>
                <w:sz w:val="21"/>
                <w:szCs w:val="21"/>
                <w:lang w:val="en-US" w:eastAsia="zh-CN"/>
              </w:rPr>
            </w:pPr>
            <w:r>
              <w:rPr>
                <w:rFonts w:hint="eastAsia" w:ascii="宋体" w:hAnsi="宋体" w:cs="宋体"/>
                <w:b/>
                <w:bCs/>
                <w:sz w:val="21"/>
                <w:szCs w:val="21"/>
                <w:lang w:val="en-US" w:eastAsia="zh-CN"/>
              </w:rPr>
              <w:t>备注</w:t>
            </w:r>
          </w:p>
        </w:tc>
      </w:tr>
      <w:tr w14:paraId="66AA7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3CD0B1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w:t>
            </w:r>
          </w:p>
        </w:tc>
        <w:tc>
          <w:tcPr>
            <w:tcW w:w="3397" w:type="pct"/>
            <w:tcBorders>
              <w:top w:val="single" w:color="auto" w:sz="4" w:space="0"/>
              <w:left w:val="single" w:color="auto" w:sz="4" w:space="0"/>
              <w:bottom w:val="single" w:color="auto" w:sz="4" w:space="0"/>
              <w:right w:val="single" w:color="auto" w:sz="4" w:space="0"/>
            </w:tcBorders>
            <w:vAlign w:val="center"/>
          </w:tcPr>
          <w:p w14:paraId="2D2858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eastAsia="宋体" w:cs="宋体"/>
                <w:sz w:val="21"/>
                <w:szCs w:val="21"/>
                <w:lang w:val="en-US" w:eastAsia="zh-CN"/>
              </w:rPr>
              <w:t>拟建设临渭区三张镇魏宋村小型社区体育健身活动中心，推动基层群体体育活动深入持久开展，实现全民健身和全民健康协同发展。（详见工程量清单）</w:t>
            </w:r>
          </w:p>
        </w:tc>
        <w:tc>
          <w:tcPr>
            <w:tcW w:w="671" w:type="pct"/>
            <w:tcBorders>
              <w:top w:val="single" w:color="auto" w:sz="4" w:space="0"/>
              <w:left w:val="single" w:color="auto" w:sz="4" w:space="0"/>
              <w:bottom w:val="single" w:color="auto" w:sz="4" w:space="0"/>
              <w:right w:val="single" w:color="auto" w:sz="4" w:space="0"/>
            </w:tcBorders>
            <w:vAlign w:val="center"/>
          </w:tcPr>
          <w:p w14:paraId="7FD2E10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49BF676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FB7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5EE103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2</w:t>
            </w:r>
          </w:p>
        </w:tc>
        <w:tc>
          <w:tcPr>
            <w:tcW w:w="3397" w:type="pct"/>
            <w:tcBorders>
              <w:top w:val="single" w:color="auto" w:sz="4" w:space="0"/>
              <w:left w:val="single" w:color="auto" w:sz="4" w:space="0"/>
              <w:bottom w:val="single" w:color="auto" w:sz="4" w:space="0"/>
              <w:right w:val="single" w:color="auto" w:sz="4" w:space="0"/>
            </w:tcBorders>
            <w:vAlign w:val="center"/>
          </w:tcPr>
          <w:p w14:paraId="76F19C6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供应商针对本项目的施工，必须达到国家及行业现行技术规范标准，符合国家及行业验收合格标准：</w:t>
            </w:r>
          </w:p>
          <w:p w14:paraId="2D2923A1">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《建筑结构荷载规范》GB50009-2022;</w:t>
            </w:r>
          </w:p>
          <w:p w14:paraId="16586FF7">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《混凝土结构设计规范》GB50010-2010(2024 年版);</w:t>
            </w:r>
          </w:p>
          <w:p w14:paraId="604CD0CD">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《建筑抗震设防分类标准》GB50223-2019;</w:t>
            </w:r>
          </w:p>
          <w:p w14:paraId="7C5608EF">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《建筑抗震设计规范》GB50011-2010(2024 年版);</w:t>
            </w:r>
          </w:p>
          <w:p w14:paraId="335AE5C3">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《建筑地基基础设计规范》GB50007-2011;</w:t>
            </w:r>
          </w:p>
          <w:p w14:paraId="0A3A5C1D">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《砌体结构设计规范》GB50003-2011；</w:t>
            </w:r>
          </w:p>
          <w:p w14:paraId="577841A7">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《室外给水设计规范》GB50013-2018；</w:t>
            </w:r>
          </w:p>
          <w:p w14:paraId="6B68220A">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《室外排水设计规范》GB50014-2021；</w:t>
            </w:r>
          </w:p>
          <w:p w14:paraId="2A045727">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《建筑给水排水设计规范》GB50015-2019；</w:t>
            </w:r>
          </w:p>
          <w:p w14:paraId="00917CDF">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《建筑设计防火规范》GB50016-2014-2018版；</w:t>
            </w:r>
          </w:p>
          <w:p w14:paraId="622C8401">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《建筑防火通用规范》GB 55037-2022 </w:t>
            </w:r>
          </w:p>
          <w:p w14:paraId="40DC70F3">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《供配电系统设计规范》GB50052-2009;</w:t>
            </w:r>
          </w:p>
          <w:p w14:paraId="68261D5C">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《低压配电设计规范》GB50054-2011;</w:t>
            </w:r>
          </w:p>
          <w:p w14:paraId="04332624">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《民用建筑电气设计标准》GB51348-2019;</w:t>
            </w:r>
          </w:p>
          <w:p w14:paraId="63255505">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《建筑照明设计标准》GB/T50034-2024;</w:t>
            </w:r>
          </w:p>
          <w:p w14:paraId="57874CC8">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《建筑物防雷设计规范》GB50057-2010;</w:t>
            </w:r>
          </w:p>
          <w:p w14:paraId="0A5636D8">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《民用建筑设计统一标准》（GB50352-2019）</w:t>
            </w:r>
          </w:p>
          <w:p w14:paraId="61844C64">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《消防应急照明和疏散指示系统技术标准》(GB51309-2018)</w:t>
            </w:r>
          </w:p>
          <w:p w14:paraId="43077915">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《民用建筑工程室内环境污染控制规范》（GB50325-2020）</w:t>
            </w:r>
          </w:p>
          <w:p w14:paraId="4526FB70">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《建筑内部装修设计防火规范》GB50222-2017</w:t>
            </w:r>
          </w:p>
          <w:p w14:paraId="252D30E3">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《建筑工程设计文件编制深度规定》（2016 年版）</w:t>
            </w:r>
          </w:p>
          <w:p w14:paraId="3BA2E045">
            <w:pPr>
              <w:keepNext w:val="0"/>
              <w:keepLines w:val="0"/>
              <w:pageBreakBefore w:val="0"/>
              <w:widowControl/>
              <w:kinsoku/>
              <w:wordWrap w:val="0"/>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其他相关的国家现行有关设计规范、规程和地方法规、标准。</w:t>
            </w:r>
          </w:p>
        </w:tc>
        <w:tc>
          <w:tcPr>
            <w:tcW w:w="671" w:type="pct"/>
            <w:tcBorders>
              <w:top w:val="single" w:color="auto" w:sz="4" w:space="0"/>
              <w:left w:val="single" w:color="auto" w:sz="4" w:space="0"/>
              <w:bottom w:val="single" w:color="auto" w:sz="4" w:space="0"/>
              <w:right w:val="single" w:color="auto" w:sz="4" w:space="0"/>
            </w:tcBorders>
            <w:vAlign w:val="center"/>
          </w:tcPr>
          <w:p w14:paraId="12D2ABD3">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3806C4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32F14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76742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w:t>
            </w:r>
          </w:p>
        </w:tc>
        <w:tc>
          <w:tcPr>
            <w:tcW w:w="3397" w:type="pct"/>
            <w:tcBorders>
              <w:top w:val="single" w:color="auto" w:sz="4" w:space="0"/>
              <w:left w:val="single" w:color="auto" w:sz="4" w:space="0"/>
              <w:bottom w:val="single" w:color="auto" w:sz="4" w:space="0"/>
              <w:right w:val="single" w:color="auto" w:sz="4" w:space="0"/>
            </w:tcBorders>
            <w:vAlign w:val="center"/>
          </w:tcPr>
          <w:p w14:paraId="133869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工期：90日历天。 </w:t>
            </w:r>
          </w:p>
        </w:tc>
        <w:tc>
          <w:tcPr>
            <w:tcW w:w="671" w:type="pct"/>
            <w:tcBorders>
              <w:top w:val="single" w:color="auto" w:sz="4" w:space="0"/>
              <w:left w:val="single" w:color="auto" w:sz="4" w:space="0"/>
              <w:bottom w:val="single" w:color="auto" w:sz="4" w:space="0"/>
              <w:right w:val="single" w:color="auto" w:sz="4" w:space="0"/>
            </w:tcBorders>
            <w:vAlign w:val="center"/>
          </w:tcPr>
          <w:p w14:paraId="3402B7C6">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4DB58E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6FAF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26F3D5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w:t>
            </w:r>
          </w:p>
        </w:tc>
        <w:tc>
          <w:tcPr>
            <w:tcW w:w="3397" w:type="pct"/>
            <w:tcBorders>
              <w:top w:val="single" w:color="auto" w:sz="4" w:space="0"/>
              <w:left w:val="single" w:color="auto" w:sz="4" w:space="0"/>
              <w:bottom w:val="single" w:color="auto" w:sz="4" w:space="0"/>
              <w:right w:val="single" w:color="auto" w:sz="4" w:space="0"/>
            </w:tcBorders>
            <w:vAlign w:val="center"/>
          </w:tcPr>
          <w:p w14:paraId="7357643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工程地点：临渭区三张镇。 </w:t>
            </w:r>
          </w:p>
        </w:tc>
        <w:tc>
          <w:tcPr>
            <w:tcW w:w="671" w:type="pct"/>
            <w:tcBorders>
              <w:top w:val="single" w:color="auto" w:sz="4" w:space="0"/>
              <w:left w:val="single" w:color="auto" w:sz="4" w:space="0"/>
              <w:bottom w:val="single" w:color="auto" w:sz="4" w:space="0"/>
              <w:right w:val="single" w:color="auto" w:sz="4" w:space="0"/>
            </w:tcBorders>
            <w:vAlign w:val="center"/>
          </w:tcPr>
          <w:p w14:paraId="7AAD87CB">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7A0B1EF">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2BE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14F3CC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5</w:t>
            </w:r>
          </w:p>
        </w:tc>
        <w:tc>
          <w:tcPr>
            <w:tcW w:w="3397" w:type="pct"/>
            <w:tcBorders>
              <w:top w:val="single" w:color="auto" w:sz="4" w:space="0"/>
              <w:left w:val="single" w:color="auto" w:sz="4" w:space="0"/>
              <w:bottom w:val="single" w:color="auto" w:sz="4" w:space="0"/>
              <w:right w:val="single" w:color="auto" w:sz="4" w:space="0"/>
            </w:tcBorders>
            <w:vAlign w:val="center"/>
          </w:tcPr>
          <w:p w14:paraId="67F211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质量标准：合格，按照《建设工程质量管理条例》及有关规定执行</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 xml:space="preserve"> </w:t>
            </w:r>
          </w:p>
        </w:tc>
        <w:tc>
          <w:tcPr>
            <w:tcW w:w="671" w:type="pct"/>
            <w:tcBorders>
              <w:top w:val="single" w:color="auto" w:sz="4" w:space="0"/>
              <w:left w:val="single" w:color="auto" w:sz="4" w:space="0"/>
              <w:bottom w:val="single" w:color="auto" w:sz="4" w:space="0"/>
              <w:right w:val="single" w:color="auto" w:sz="4" w:space="0"/>
            </w:tcBorders>
            <w:vAlign w:val="center"/>
          </w:tcPr>
          <w:p w14:paraId="4C83E59A">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950D568">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48CA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62DCA0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6</w:t>
            </w:r>
          </w:p>
        </w:tc>
        <w:tc>
          <w:tcPr>
            <w:tcW w:w="3397" w:type="pct"/>
            <w:tcBorders>
              <w:top w:val="single" w:color="auto" w:sz="4" w:space="0"/>
              <w:left w:val="single" w:color="auto" w:sz="4" w:space="0"/>
              <w:bottom w:val="single" w:color="auto" w:sz="4" w:space="0"/>
              <w:right w:val="single" w:color="auto" w:sz="4" w:space="0"/>
            </w:tcBorders>
            <w:vAlign w:val="center"/>
          </w:tcPr>
          <w:p w14:paraId="68E8F0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 xml:space="preserve">质保期：自验收合格之日起一年，质量保修期自工程竣工验收合格之日起计算。 </w:t>
            </w:r>
          </w:p>
        </w:tc>
        <w:tc>
          <w:tcPr>
            <w:tcW w:w="671" w:type="pct"/>
            <w:tcBorders>
              <w:top w:val="single" w:color="auto" w:sz="4" w:space="0"/>
              <w:left w:val="single" w:color="auto" w:sz="4" w:space="0"/>
              <w:bottom w:val="single" w:color="auto" w:sz="4" w:space="0"/>
              <w:right w:val="single" w:color="auto" w:sz="4" w:space="0"/>
            </w:tcBorders>
            <w:vAlign w:val="center"/>
          </w:tcPr>
          <w:p w14:paraId="6A238479">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71C8FA21">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23CC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4E412A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7</w:t>
            </w:r>
          </w:p>
        </w:tc>
        <w:tc>
          <w:tcPr>
            <w:tcW w:w="3397" w:type="pct"/>
            <w:tcBorders>
              <w:top w:val="single" w:color="auto" w:sz="4" w:space="0"/>
              <w:left w:val="single" w:color="auto" w:sz="4" w:space="0"/>
              <w:bottom w:val="single" w:color="auto" w:sz="4" w:space="0"/>
              <w:right w:val="single" w:color="auto" w:sz="4" w:space="0"/>
            </w:tcBorders>
            <w:vAlign w:val="center"/>
          </w:tcPr>
          <w:p w14:paraId="5574DB9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 xml:space="preserve">付款方式：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 </w:t>
            </w:r>
            <w:r>
              <w:rPr>
                <w:rFonts w:hint="eastAsia" w:ascii="宋体" w:hAnsi="宋体" w:cs="宋体"/>
                <w:sz w:val="21"/>
                <w:szCs w:val="21"/>
                <w:lang w:val="en-US" w:eastAsia="zh-CN"/>
              </w:rPr>
              <w:t xml:space="preserve"> </w:t>
            </w:r>
          </w:p>
        </w:tc>
        <w:tc>
          <w:tcPr>
            <w:tcW w:w="671" w:type="pct"/>
            <w:tcBorders>
              <w:top w:val="single" w:color="auto" w:sz="4" w:space="0"/>
              <w:left w:val="single" w:color="auto" w:sz="4" w:space="0"/>
              <w:bottom w:val="single" w:color="auto" w:sz="4" w:space="0"/>
              <w:right w:val="single" w:color="auto" w:sz="4" w:space="0"/>
            </w:tcBorders>
            <w:vAlign w:val="center"/>
          </w:tcPr>
          <w:p w14:paraId="4C16FC3C">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02023D90">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5D9B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19E663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8</w:t>
            </w:r>
          </w:p>
        </w:tc>
        <w:tc>
          <w:tcPr>
            <w:tcW w:w="3397" w:type="pct"/>
            <w:tcBorders>
              <w:top w:val="single" w:color="auto" w:sz="4" w:space="0"/>
              <w:left w:val="single" w:color="auto" w:sz="4" w:space="0"/>
              <w:bottom w:val="single" w:color="auto" w:sz="4" w:space="0"/>
              <w:right w:val="single" w:color="auto" w:sz="4" w:space="0"/>
            </w:tcBorders>
            <w:vAlign w:val="center"/>
          </w:tcPr>
          <w:p w14:paraId="3688C0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bookmarkStart w:id="0" w:name="_GoBack"/>
            <w:r>
              <w:rPr>
                <w:rFonts w:hint="eastAsia" w:ascii="宋体" w:hAnsi="宋体" w:cs="宋体"/>
                <w:sz w:val="21"/>
                <w:szCs w:val="21"/>
                <w:lang w:val="en-US" w:eastAsia="zh-CN"/>
              </w:rPr>
              <w:t>针对本项目的其他技术服务要求：（1）项目建设相关要求：严格执行国家相关标准、行业标准、地方标准等。（2）投标人所有与本项目有关的技术标准均应不低于已颁布的国家和行业标准，或相应的国际标准的有关条文。使用最新的专利和保密专利需特别说明。</w:t>
            </w:r>
            <w:bookmarkEnd w:id="0"/>
            <w:r>
              <w:rPr>
                <w:rFonts w:hint="eastAsia" w:ascii="宋体" w:hAnsi="宋体" w:cs="宋体"/>
                <w:sz w:val="21"/>
                <w:szCs w:val="21"/>
                <w:lang w:val="en-US" w:eastAsia="zh-CN"/>
              </w:rPr>
              <w:t xml:space="preserve"> </w:t>
            </w:r>
          </w:p>
        </w:tc>
        <w:tc>
          <w:tcPr>
            <w:tcW w:w="671" w:type="pct"/>
            <w:tcBorders>
              <w:top w:val="single" w:color="auto" w:sz="4" w:space="0"/>
              <w:left w:val="single" w:color="auto" w:sz="4" w:space="0"/>
              <w:bottom w:val="single" w:color="auto" w:sz="4" w:space="0"/>
              <w:right w:val="single" w:color="auto" w:sz="4" w:space="0"/>
            </w:tcBorders>
            <w:vAlign w:val="center"/>
          </w:tcPr>
          <w:p w14:paraId="375848F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332C227E">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cs="宋体"/>
                <w:sz w:val="21"/>
                <w:szCs w:val="21"/>
                <w:lang w:val="en-US" w:eastAsia="zh-CN"/>
              </w:rPr>
            </w:pPr>
          </w:p>
        </w:tc>
      </w:tr>
      <w:tr w14:paraId="0CD6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62748E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9</w:t>
            </w:r>
          </w:p>
        </w:tc>
        <w:tc>
          <w:tcPr>
            <w:tcW w:w="3397" w:type="pct"/>
            <w:tcBorders>
              <w:top w:val="single" w:color="auto" w:sz="4" w:space="0"/>
              <w:left w:val="single" w:color="auto" w:sz="4" w:space="0"/>
              <w:bottom w:val="single" w:color="auto" w:sz="4" w:space="0"/>
              <w:right w:val="single" w:color="auto" w:sz="4" w:space="0"/>
            </w:tcBorders>
            <w:vAlign w:val="center"/>
          </w:tcPr>
          <w:p w14:paraId="2C98F92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 xml:space="preserve">本工程应按图纸、工程量清单及磋商文件完成全部内容。 </w:t>
            </w:r>
          </w:p>
        </w:tc>
        <w:tc>
          <w:tcPr>
            <w:tcW w:w="671" w:type="pct"/>
            <w:tcBorders>
              <w:top w:val="single" w:color="auto" w:sz="4" w:space="0"/>
              <w:left w:val="single" w:color="auto" w:sz="4" w:space="0"/>
              <w:bottom w:val="single" w:color="auto" w:sz="4" w:space="0"/>
              <w:right w:val="single" w:color="auto" w:sz="4" w:space="0"/>
            </w:tcBorders>
            <w:vAlign w:val="center"/>
          </w:tcPr>
          <w:p w14:paraId="039BB467">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FB0AB64">
            <w:pPr>
              <w:keepNext w:val="0"/>
              <w:keepLines w:val="0"/>
              <w:pageBreakBefore w:val="0"/>
              <w:widowControl/>
              <w:kinsoku/>
              <w:wordWrap/>
              <w:overflowPunct/>
              <w:topLinePunct w:val="0"/>
              <w:autoSpaceDE/>
              <w:autoSpaceDN/>
              <w:bidi w:val="0"/>
              <w:adjustRightInd/>
              <w:snapToGrid/>
              <w:spacing w:line="240" w:lineRule="auto"/>
              <w:ind w:firstLine="411" w:firstLineChars="196"/>
              <w:jc w:val="both"/>
              <w:textAlignment w:val="auto"/>
              <w:rPr>
                <w:rFonts w:hint="eastAsia" w:ascii="宋体" w:hAnsi="宋体" w:eastAsia="宋体" w:cs="宋体"/>
                <w:sz w:val="21"/>
                <w:szCs w:val="21"/>
                <w:lang w:val="en-US" w:eastAsia="zh-CN"/>
              </w:rPr>
            </w:pPr>
          </w:p>
        </w:tc>
      </w:tr>
      <w:tr w14:paraId="07E0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1B3C1F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10</w:t>
            </w:r>
          </w:p>
        </w:tc>
        <w:tc>
          <w:tcPr>
            <w:tcW w:w="3397" w:type="pct"/>
            <w:tcBorders>
              <w:top w:val="single" w:color="auto" w:sz="4" w:space="0"/>
              <w:left w:val="single" w:color="auto" w:sz="4" w:space="0"/>
              <w:bottom w:val="single" w:color="auto" w:sz="4" w:space="0"/>
              <w:right w:val="single" w:color="auto" w:sz="4" w:space="0"/>
            </w:tcBorders>
            <w:vAlign w:val="center"/>
          </w:tcPr>
          <w:p w14:paraId="11255B7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依据磋商文件、成交人响应文件及签证单等文件进行验收。 </w:t>
            </w:r>
          </w:p>
        </w:tc>
        <w:tc>
          <w:tcPr>
            <w:tcW w:w="671" w:type="pct"/>
            <w:tcBorders>
              <w:top w:val="single" w:color="auto" w:sz="4" w:space="0"/>
              <w:left w:val="single" w:color="auto" w:sz="4" w:space="0"/>
              <w:bottom w:val="single" w:color="auto" w:sz="4" w:space="0"/>
              <w:right w:val="single" w:color="auto" w:sz="4" w:space="0"/>
            </w:tcBorders>
            <w:vAlign w:val="center"/>
          </w:tcPr>
          <w:p w14:paraId="7B37985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5BC85A9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2ACD8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697099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11</w:t>
            </w:r>
          </w:p>
        </w:tc>
        <w:tc>
          <w:tcPr>
            <w:tcW w:w="3397" w:type="pct"/>
            <w:tcBorders>
              <w:top w:val="single" w:color="auto" w:sz="4" w:space="0"/>
              <w:left w:val="single" w:color="auto" w:sz="4" w:space="0"/>
              <w:bottom w:val="single" w:color="auto" w:sz="4" w:space="0"/>
              <w:right w:val="single" w:color="auto" w:sz="4" w:space="0"/>
            </w:tcBorders>
            <w:vAlign w:val="center"/>
          </w:tcPr>
          <w:p w14:paraId="5CB3ADB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 xml:space="preserve">供应商严格执行安全措施和交通组织措施，以保证施工及过往行人人身安全，杜绝安全事故的发生，因施工原因造成安全事故的责任和损失由成交人自行承担，采购人概不负责任和赔偿。 </w:t>
            </w:r>
          </w:p>
        </w:tc>
        <w:tc>
          <w:tcPr>
            <w:tcW w:w="671" w:type="pct"/>
            <w:tcBorders>
              <w:top w:val="single" w:color="auto" w:sz="4" w:space="0"/>
              <w:left w:val="single" w:color="auto" w:sz="4" w:space="0"/>
              <w:bottom w:val="single" w:color="auto" w:sz="4" w:space="0"/>
              <w:right w:val="single" w:color="auto" w:sz="4" w:space="0"/>
            </w:tcBorders>
            <w:vAlign w:val="center"/>
          </w:tcPr>
          <w:p w14:paraId="24A3F7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65EE78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57BC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19D340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12</w:t>
            </w:r>
          </w:p>
        </w:tc>
        <w:tc>
          <w:tcPr>
            <w:tcW w:w="3397" w:type="pct"/>
            <w:tcBorders>
              <w:top w:val="single" w:color="auto" w:sz="4" w:space="0"/>
              <w:left w:val="single" w:color="auto" w:sz="4" w:space="0"/>
              <w:bottom w:val="single" w:color="auto" w:sz="4" w:space="0"/>
              <w:right w:val="single" w:color="auto" w:sz="4" w:space="0"/>
            </w:tcBorders>
            <w:vAlign w:val="center"/>
          </w:tcPr>
          <w:p w14:paraId="3022756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供应商负责施工期间与相关部门的协调，并承担相关责任及发生的相关费用，必须确保本项目施工最终验收通过。</w:t>
            </w:r>
          </w:p>
        </w:tc>
        <w:tc>
          <w:tcPr>
            <w:tcW w:w="671" w:type="pct"/>
            <w:tcBorders>
              <w:top w:val="single" w:color="auto" w:sz="4" w:space="0"/>
              <w:left w:val="single" w:color="auto" w:sz="4" w:space="0"/>
              <w:bottom w:val="single" w:color="auto" w:sz="4" w:space="0"/>
              <w:right w:val="single" w:color="auto" w:sz="4" w:space="0"/>
            </w:tcBorders>
            <w:vAlign w:val="center"/>
          </w:tcPr>
          <w:p w14:paraId="0204651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c>
          <w:tcPr>
            <w:tcW w:w="539" w:type="pct"/>
            <w:tcBorders>
              <w:top w:val="single" w:color="auto" w:sz="4" w:space="0"/>
              <w:left w:val="single" w:color="auto" w:sz="4" w:space="0"/>
              <w:bottom w:val="single" w:color="auto" w:sz="4" w:space="0"/>
              <w:right w:val="single" w:color="auto" w:sz="4" w:space="0"/>
            </w:tcBorders>
            <w:vAlign w:val="center"/>
          </w:tcPr>
          <w:p w14:paraId="270EB2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p>
        </w:tc>
      </w:tr>
      <w:tr w14:paraId="1A11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92" w:type="pct"/>
            <w:tcBorders>
              <w:top w:val="single" w:color="auto" w:sz="4" w:space="0"/>
              <w:left w:val="single" w:color="auto" w:sz="4" w:space="0"/>
              <w:bottom w:val="single" w:color="auto" w:sz="4" w:space="0"/>
              <w:right w:val="single" w:color="auto" w:sz="4" w:space="0"/>
            </w:tcBorders>
            <w:vAlign w:val="center"/>
          </w:tcPr>
          <w:p w14:paraId="611DCF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w:t>
            </w:r>
          </w:p>
        </w:tc>
        <w:tc>
          <w:tcPr>
            <w:tcW w:w="3397" w:type="pct"/>
            <w:tcBorders>
              <w:top w:val="single" w:color="auto" w:sz="4" w:space="0"/>
              <w:left w:val="single" w:color="auto" w:sz="4" w:space="0"/>
              <w:bottom w:val="single" w:color="auto" w:sz="4" w:space="0"/>
              <w:right w:val="single" w:color="auto" w:sz="4" w:space="0"/>
            </w:tcBorders>
            <w:vAlign w:val="center"/>
          </w:tcPr>
          <w:p w14:paraId="291FF9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w:t>
            </w:r>
          </w:p>
        </w:tc>
        <w:tc>
          <w:tcPr>
            <w:tcW w:w="671" w:type="pct"/>
            <w:tcBorders>
              <w:top w:val="single" w:color="auto" w:sz="4" w:space="0"/>
              <w:left w:val="single" w:color="auto" w:sz="4" w:space="0"/>
              <w:bottom w:val="single" w:color="auto" w:sz="4" w:space="0"/>
              <w:right w:val="single" w:color="auto" w:sz="4" w:space="0"/>
            </w:tcBorders>
            <w:vAlign w:val="center"/>
          </w:tcPr>
          <w:p w14:paraId="7A40D3B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c>
          <w:tcPr>
            <w:tcW w:w="539" w:type="pct"/>
            <w:tcBorders>
              <w:top w:val="single" w:color="auto" w:sz="4" w:space="0"/>
              <w:left w:val="single" w:color="auto" w:sz="4" w:space="0"/>
              <w:bottom w:val="single" w:color="auto" w:sz="4" w:space="0"/>
              <w:right w:val="single" w:color="auto" w:sz="4" w:space="0"/>
            </w:tcBorders>
            <w:vAlign w:val="center"/>
          </w:tcPr>
          <w:p w14:paraId="604A3B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bl>
    <w:p w14:paraId="2DB728A9">
      <w:pPr>
        <w:widowControl/>
        <w:spacing w:line="360" w:lineRule="auto"/>
        <w:jc w:val="left"/>
        <w:rPr>
          <w:rFonts w:hint="eastAsia" w:ascii="宋体" w:hAnsi="宋体" w:cs="宋体"/>
          <w:sz w:val="22"/>
          <w:szCs w:val="22"/>
        </w:rPr>
      </w:pPr>
      <w:r>
        <w:rPr>
          <w:rFonts w:hint="eastAsia" w:ascii="宋体" w:hAnsi="宋体" w:cs="宋体"/>
          <w:sz w:val="22"/>
          <w:szCs w:val="22"/>
        </w:rPr>
        <w:t>注：1.以上表格格式行、列可增减。</w:t>
      </w:r>
      <w:r>
        <w:rPr>
          <w:rFonts w:hint="eastAsia" w:ascii="宋体" w:hAnsi="宋体" w:cs="宋体"/>
          <w:sz w:val="22"/>
          <w:szCs w:val="22"/>
          <w:lang w:val="en-US" w:eastAsia="zh-CN"/>
        </w:rPr>
        <w:t>2.</w:t>
      </w:r>
      <w:r>
        <w:rPr>
          <w:rFonts w:hint="eastAsia" w:ascii="宋体" w:hAnsi="宋体" w:cs="宋体"/>
          <w:sz w:val="22"/>
          <w:szCs w:val="22"/>
        </w:rPr>
        <w:t>供应商</w:t>
      </w:r>
      <w:r>
        <w:rPr>
          <w:rFonts w:hint="eastAsia" w:ascii="宋体" w:hAnsi="宋体" w:cs="宋体"/>
          <w:sz w:val="22"/>
          <w:szCs w:val="22"/>
          <w:lang w:val="en-US" w:eastAsia="zh-CN"/>
        </w:rPr>
        <w:t>必须根据采购文件要求据实填写，不得虚假陈述</w:t>
      </w:r>
      <w:r>
        <w:rPr>
          <w:rFonts w:hint="eastAsia" w:ascii="宋体" w:hAnsi="宋体" w:cs="宋体"/>
          <w:sz w:val="22"/>
          <w:szCs w:val="22"/>
        </w:rPr>
        <w:t>。</w:t>
      </w:r>
    </w:p>
    <w:p w14:paraId="7B85D0E5">
      <w:pPr>
        <w:pStyle w:val="3"/>
        <w:numPr>
          <w:ilvl w:val="0"/>
          <w:numId w:val="0"/>
        </w:numPr>
        <w:jc w:val="right"/>
        <w:rPr>
          <w:sz w:val="22"/>
          <w:szCs w:val="22"/>
        </w:rPr>
      </w:pPr>
      <w:r>
        <w:rPr>
          <w:rFonts w:hint="eastAsia"/>
          <w:sz w:val="22"/>
          <w:szCs w:val="22"/>
          <w:lang w:val="en-US" w:eastAsia="zh-CN"/>
        </w:rPr>
        <w:t>供应商名称（签章）：｛请填写供应商名称｝</w:t>
      </w:r>
    </w:p>
    <w:p w14:paraId="3BA151C3">
      <w:pPr>
        <w:jc w:val="right"/>
        <w:rPr>
          <w:rFonts w:hint="eastAsia"/>
          <w:b/>
          <w:bCs/>
          <w:sz w:val="32"/>
          <w:szCs w:val="40"/>
        </w:rPr>
      </w:pPr>
      <w:r>
        <w:rPr>
          <w:rFonts w:hint="eastAsia"/>
          <w:sz w:val="22"/>
          <w:szCs w:val="2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E56A3"/>
    <w:rsid w:val="2DF57396"/>
    <w:rsid w:val="5DD05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746</Words>
  <Characters>793</Characters>
  <Lines>0</Lines>
  <Paragraphs>0</Paragraphs>
  <TotalTime>0</TotalTime>
  <ScaleCrop>false</ScaleCrop>
  <LinksUpToDate>false</LinksUpToDate>
  <CharactersWithSpaces>811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2025-09-24T12:43:00Z</dcterms:created>
  <dc:creator>msi</dc:creator>
  <cp:lastModifiedBy>WPS_1730446345</cp:lastModifiedBy>
  <dcterms:modified xsi:type="dcterms:W3CDTF">2026-02-09T15:00:23Z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1D9DED6473C94D45A7E0FB341CC21FD1_12</vt:lpwstr>
  </property>
</Properties>
</file>