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版本号：SXTW-2026-030220260311001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保障性住房示范小区、瑞景新城、莲居城房屋安全鉴定项目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SXTW-2026-0302</w:t>
      </w:r>
      <w:r>
        <w:br/>
      </w:r>
      <w:r>
        <w:br/>
      </w:r>
      <w:r>
        <w:br/>
      </w:r>
    </w:p>
    <w:p>
      <w:pPr>
        <w:pStyle w:val="null3"/>
        <w:jc w:val="center"/>
        <w:outlineLvl w:val="2"/>
      </w:pPr>
      <w:r>
        <w:rPr>
          <w:rFonts w:ascii="仿宋_GB2312" w:hAnsi="仿宋_GB2312" w:cs="仿宋_GB2312" w:eastAsia="仿宋_GB2312"/>
          <w:sz w:val="28"/>
          <w:b/>
        </w:rPr>
        <w:t>陕西省渭南市临渭区住房和城乡建设局</w:t>
      </w:r>
    </w:p>
    <w:p>
      <w:pPr>
        <w:pStyle w:val="null3"/>
        <w:jc w:val="center"/>
        <w:outlineLvl w:val="2"/>
      </w:pPr>
      <w:r>
        <w:rPr>
          <w:rFonts w:ascii="仿宋_GB2312" w:hAnsi="仿宋_GB2312" w:cs="仿宋_GB2312" w:eastAsia="仿宋_GB2312"/>
          <w:sz w:val="28"/>
          <w:b/>
        </w:rPr>
        <w:t>陕西侗伟项目管理有限公司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陕西侗伟项目管理有限公司</w:t>
      </w:r>
      <w:r>
        <w:rPr>
          <w:rFonts w:ascii="仿宋_GB2312" w:hAnsi="仿宋_GB2312" w:cs="仿宋_GB2312" w:eastAsia="仿宋_GB2312"/>
        </w:rPr>
        <w:t>（以下简称“代理机构”）受</w:t>
      </w:r>
      <w:r>
        <w:rPr>
          <w:rFonts w:ascii="仿宋_GB2312" w:hAnsi="仿宋_GB2312" w:cs="仿宋_GB2312" w:eastAsia="仿宋_GB2312"/>
        </w:rPr>
        <w:t>陕西省渭南市临渭区住房和城乡建设局</w:t>
      </w:r>
      <w:r>
        <w:rPr>
          <w:rFonts w:ascii="仿宋_GB2312" w:hAnsi="仿宋_GB2312" w:cs="仿宋_GB2312" w:eastAsia="仿宋_GB2312"/>
        </w:rPr>
        <w:t>委托，拟对</w:t>
      </w:r>
      <w:r>
        <w:rPr>
          <w:rFonts w:ascii="仿宋_GB2312" w:hAnsi="仿宋_GB2312" w:cs="仿宋_GB2312" w:eastAsia="仿宋_GB2312"/>
        </w:rPr>
        <w:t>保障性住房示范小区、瑞景新城、莲居城房屋安全鉴定项目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SXTW-2026-0302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保障性住房示范小区、瑞景新城、莲居城房屋安全鉴定项目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明确渭南保障性住房示范小区、瑞景新城保障性住房小区、莲居城保障性住房小区房屋安全状况，总建筑面积约40.75万平方米。</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采购包1（保障性住房示范小区、瑞景新城、莲居城房屋安全鉴定项目）：属于专门面向中小企业采购。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法人证书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资质要求：供应商为陕西省内企业的，应具有陕西省住房和城乡建设厅颁发的建设工程质量检测机构资质证书(检测范围至少须包含:建筑材料及构配件、主体结构及装饰装修、钢结构、地基基础)；供应商非陕西省内企业的，须具备企业所在省(市)建设行政主管部门颁发的建设工程质量检测机构资质证书(检测范围至少须包含:建筑材料及构配件、主体结构及装饰装修、钢结构、地基基础)并在陕西省住房和城乡建设厅备案（提供备案证明）。</w:t>
      </w:r>
    </w:p>
    <w:p>
      <w:pPr>
        <w:pStyle w:val="null3"/>
      </w:pPr>
      <w:r>
        <w:rPr>
          <w:rFonts w:ascii="仿宋_GB2312" w:hAnsi="仿宋_GB2312" w:cs="仿宋_GB2312" w:eastAsia="仿宋_GB2312"/>
        </w:rPr>
        <w:t>3、法定代表人授权书/法定代表人身份证明书：法定代表人直接参加投标的，须提供法定代表人身份证明及其身份证扫描件；法定代表人授权他人参加投标的，须提供法定代表人身份证明及法定代表人授权委托书。</w:t>
      </w:r>
    </w:p>
    <w:p>
      <w:pPr>
        <w:pStyle w:val="null3"/>
      </w:pPr>
      <w:r>
        <w:rPr>
          <w:rFonts w:ascii="仿宋_GB2312" w:hAnsi="仿宋_GB2312" w:cs="仿宋_GB2312" w:eastAsia="仿宋_GB2312"/>
        </w:rPr>
        <w:t>4、财务状况报告：提供具有财务审计资质单位出具的经审计的2024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6、社会保障资金缴纳证明：提供递交投标文件截止之日前一年内任意一个月的社会保障资金缴存单据或社保机构开具的社会保险参保缴费情况证明；依法不需要缴纳社会保障资金的供应商应提供相关证明文件。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7、具有履行合同的声明：提供具有履行本合同所必需的设备和专业技术能力的声明及承诺。</w:t>
      </w:r>
    </w:p>
    <w:p>
      <w:pPr>
        <w:pStyle w:val="null3"/>
      </w:pPr>
      <w:r>
        <w:rPr>
          <w:rFonts w:ascii="仿宋_GB2312" w:hAnsi="仿宋_GB2312" w:cs="仿宋_GB2312" w:eastAsia="仿宋_GB2312"/>
        </w:rPr>
        <w:t>8、无重大违法记录书面声明：参加政府采购活动前三年内在经营活动中无重大违法记录的书面声明。</w:t>
      </w:r>
    </w:p>
    <w:p>
      <w:pPr>
        <w:pStyle w:val="null3"/>
      </w:pPr>
      <w:r>
        <w:rPr>
          <w:rFonts w:ascii="仿宋_GB2312" w:hAnsi="仿宋_GB2312" w:cs="仿宋_GB2312" w:eastAsia="仿宋_GB2312"/>
        </w:rPr>
        <w:t>9、信誉信息：投标人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投标人，以供应商信用记录书面声明函为准。</w:t>
      </w:r>
    </w:p>
    <w:p>
      <w:pPr>
        <w:pStyle w:val="null3"/>
      </w:pPr>
      <w:r>
        <w:rPr>
          <w:rFonts w:ascii="仿宋_GB2312" w:hAnsi="仿宋_GB2312" w:cs="仿宋_GB2312" w:eastAsia="仿宋_GB2312"/>
        </w:rPr>
        <w:t>10、无控股、管理承诺：单位负责人为同一人或者存在直接控股、管理关系的不同投标人，不得同时参加同一合同项下的政府采购活动。</w:t>
      </w:r>
    </w:p>
    <w:p>
      <w:pPr>
        <w:pStyle w:val="null3"/>
      </w:pPr>
      <w:r>
        <w:rPr>
          <w:rFonts w:ascii="仿宋_GB2312" w:hAnsi="仿宋_GB2312" w:cs="仿宋_GB2312" w:eastAsia="仿宋_GB2312"/>
        </w:rPr>
        <w:t>11、联合体投标：本项目不接受联合体投标，提供非联合体声明。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陕西省渭南市临渭区住房和城乡建设局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渭南市临渭区东风大街83号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0913-3039791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陕西侗伟项目管理有限公司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陕西省渭南市临渭区胜利大街与前进路十字西200米路南雅馨花园C座C08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高宇姣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13310933306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采购包1：2,241,200.00元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开户名称：陕西侗伟项目管理有限公司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 0164 1600 0000 1333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由中标单位支付，按照《关于进一步放开建设项目专业服务价格的通知》（发改价格〔2015〕299号）的要求，参考《国家计委关于印发招标代理服务收费管理暂行办法的通知》（计价格）〔2002〕1980号文件规定的计费标准计取。 2.由中标单位在领取中标通知书前，须向采购代理机构一次性支付招标代理服务费。 3.采购代理服务费账户 户 名：陕西侗伟项目管理有限公司 账 号：6105 0164 1400 0000 0348 开户银行：中国建设银行股份有限公司渭南胜利大街支行。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陕西省渭南市临渭区住房和城乡建设局</w:t>
      </w:r>
      <w:r>
        <w:rPr>
          <w:rFonts w:ascii="仿宋_GB2312" w:hAnsi="仿宋_GB2312" w:cs="仿宋_GB2312" w:eastAsia="仿宋_GB2312"/>
        </w:rPr>
        <w:t>和</w:t>
      </w:r>
      <w:r>
        <w:rPr>
          <w:rFonts w:ascii="仿宋_GB2312" w:hAnsi="仿宋_GB2312" w:cs="仿宋_GB2312" w:eastAsia="仿宋_GB2312"/>
        </w:rPr>
        <w:t>陕西侗伟项目管理有限公司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陕西省渭南市临渭区住房和城乡建设局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陕西侗伟项目管理有限公司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陕西省渭南市临渭区住房和城乡建设局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陕西侗伟项目管理有限公司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联系人：高宇姣</w:t>
      </w:r>
    </w:p>
    <w:p>
      <w:pPr>
        <w:pStyle w:val="null3"/>
      </w:pPr>
      <w:r>
        <w:rPr>
          <w:rFonts w:ascii="仿宋_GB2312" w:hAnsi="仿宋_GB2312" w:cs="仿宋_GB2312" w:eastAsia="仿宋_GB2312"/>
        </w:rPr>
        <w:t>联系电话：13310933306</w:t>
      </w:r>
    </w:p>
    <w:p>
      <w:pPr>
        <w:pStyle w:val="null3"/>
      </w:pPr>
      <w:r>
        <w:rPr>
          <w:rFonts w:ascii="仿宋_GB2312" w:hAnsi="仿宋_GB2312" w:cs="仿宋_GB2312" w:eastAsia="仿宋_GB2312"/>
        </w:rPr>
        <w:t>地址：陕西省渭南市临渭区胜利大街与前进路十字西200米路南雅馨花园C座C08</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明确渭南保障性住房示范小区、瑞景新城保障性住房小区、莲居城保障性住房小区房屋安全状况，总建筑面积约40.75万平方米。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2,241,200.00</w:t>
      </w:r>
    </w:p>
    <w:p>
      <w:pPr>
        <w:pStyle w:val="null3"/>
      </w:pPr>
      <w:r>
        <w:rPr>
          <w:rFonts w:ascii="仿宋_GB2312" w:hAnsi="仿宋_GB2312" w:cs="仿宋_GB2312" w:eastAsia="仿宋_GB2312"/>
        </w:rPr>
        <w:t>采购包最高限价（元）: 2,119,000.00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保障性住房示范小区 瑞景新城 莲居城房屋安全鉴定项目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2,241,200.00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标的名称：保障性住房示范小区 瑞景新城 莲居城房屋安全鉴定项目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一、需执行的国家相关标准、行业标准、地方标准或者其他标准</w:t>
            </w:r>
          </w:p>
          <w:p>
            <w:pPr>
              <w:pStyle w:val="null3"/>
              <w:jc w:val="both"/>
            </w:pPr>
            <w:r>
              <w:rPr>
                <w:rFonts w:ascii="仿宋_GB2312" w:hAnsi="仿宋_GB2312" w:cs="仿宋_GB2312" w:eastAsia="仿宋_GB2312"/>
                <w:sz w:val="21"/>
              </w:rPr>
              <w:t>1、《民用建筑可靠性鉴定标准》GB 50292-2015、《既有建筑鉴定与加固通用规范》GB 55021-2021等。</w:t>
            </w:r>
          </w:p>
          <w:p>
            <w:pPr>
              <w:pStyle w:val="null3"/>
              <w:jc w:val="both"/>
            </w:pPr>
            <w:r>
              <w:rPr>
                <w:rFonts w:ascii="仿宋_GB2312" w:hAnsi="仿宋_GB2312" w:cs="仿宋_GB2312" w:eastAsia="仿宋_GB2312"/>
                <w:sz w:val="21"/>
              </w:rPr>
              <w:t>2、国家其他相关法律、法规及规定。</w:t>
            </w:r>
          </w:p>
          <w:p>
            <w:pPr>
              <w:pStyle w:val="null3"/>
              <w:jc w:val="both"/>
            </w:pPr>
            <w:r>
              <w:rPr>
                <w:rFonts w:ascii="仿宋_GB2312" w:hAnsi="仿宋_GB2312" w:cs="仿宋_GB2312" w:eastAsia="仿宋_GB2312"/>
                <w:sz w:val="21"/>
              </w:rPr>
              <w:t>二、服务指标的具体要求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.服务内容</w:t>
            </w:r>
          </w:p>
          <w:p>
            <w:pPr>
              <w:pStyle w:val="null3"/>
              <w:jc w:val="both"/>
            </w:pPr>
            <w:r>
              <w:rPr>
                <w:rFonts w:ascii="仿宋_GB2312" w:hAnsi="仿宋_GB2312" w:cs="仿宋_GB2312" w:eastAsia="仿宋_GB2312"/>
                <w:sz w:val="21"/>
              </w:rPr>
              <w:t>对渭南保障性住房示范小区、瑞景新城保障性住房小区、莲居城保障性住房小区开展房屋安全鉴定工作。</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.服务范围</w:t>
            </w:r>
          </w:p>
          <w:p>
            <w:pPr>
              <w:pStyle w:val="null3"/>
              <w:jc w:val="both"/>
            </w:pPr>
            <w:r>
              <w:rPr>
                <w:rFonts w:ascii="仿宋_GB2312" w:hAnsi="仿宋_GB2312" w:cs="仿宋_GB2312" w:eastAsia="仿宋_GB2312"/>
                <w:sz w:val="21"/>
              </w:rPr>
              <w:t>对渭南保障性住房示范小区、瑞景新城保障性住房小区、莲居城保障性住房小区进行房屋安全鉴定，完成现场查勘、结构检查、安全性检测、数据采集与分析、</w:t>
            </w:r>
            <w:r>
              <w:rPr>
                <w:rFonts w:ascii="仿宋_GB2312" w:hAnsi="仿宋_GB2312" w:cs="仿宋_GB2312" w:eastAsia="仿宋_GB2312"/>
                <w:sz w:val="21"/>
              </w:rPr>
              <w:t>结构安全性</w:t>
            </w:r>
            <w:r>
              <w:rPr>
                <w:rFonts w:ascii="仿宋_GB2312" w:hAnsi="仿宋_GB2312" w:cs="仿宋_GB2312" w:eastAsia="仿宋_GB2312"/>
                <w:sz w:val="21"/>
              </w:rPr>
              <w:t>评定、鉴定报告编制、成果汇总、报告盖章出具</w:t>
            </w:r>
            <w:r>
              <w:rPr>
                <w:rFonts w:ascii="仿宋_GB2312" w:hAnsi="仿宋_GB2312" w:cs="仿宋_GB2312" w:eastAsia="仿宋_GB2312"/>
                <w:sz w:val="21"/>
              </w:rPr>
              <w:t>及</w:t>
            </w:r>
            <w:r>
              <w:rPr>
                <w:rFonts w:ascii="仿宋_GB2312" w:hAnsi="仿宋_GB2312" w:cs="仿宋_GB2312" w:eastAsia="仿宋_GB2312"/>
                <w:sz w:val="21"/>
              </w:rPr>
              <w:t>相关技术配合服务。</w:t>
            </w:r>
          </w:p>
          <w:p>
            <w:pPr>
              <w:pStyle w:val="null3"/>
              <w:jc w:val="both"/>
            </w:pPr>
            <w:r>
              <w:rPr>
                <w:rFonts w:ascii="仿宋_GB2312" w:hAnsi="仿宋_GB2312" w:cs="仿宋_GB2312" w:eastAsia="仿宋_GB2312"/>
                <w:sz w:val="21"/>
              </w:rPr>
              <w:t>三、拟投入本项目的费用测算</w:t>
            </w:r>
          </w:p>
          <w:p>
            <w:pPr>
              <w:pStyle w:val="null3"/>
              <w:jc w:val="both"/>
            </w:pPr>
            <w:r>
              <w:rPr>
                <w:rFonts w:ascii="仿宋_GB2312" w:hAnsi="仿宋_GB2312" w:cs="仿宋_GB2312" w:eastAsia="仿宋_GB2312"/>
                <w:sz w:val="21"/>
              </w:rPr>
              <w:t>本次预算费用包括完成本次服务的所有费用</w:t>
            </w:r>
            <w:r>
              <w:rPr>
                <w:rFonts w:ascii="仿宋_GB2312" w:hAnsi="仿宋_GB2312" w:cs="仿宋_GB2312" w:eastAsia="仿宋_GB2312"/>
                <w:sz w:val="21"/>
              </w:rPr>
              <w:t>,包括但不限于项目人工费、机械费、验收费、管理费、税金、利润、采购文件明示及暗示所有风险等所有费用,服务期内采购人不再增加任何费用。</w:t>
            </w:r>
          </w:p>
          <w:p>
            <w:pPr>
              <w:pStyle w:val="null3"/>
              <w:jc w:val="both"/>
            </w:pPr>
            <w:r>
              <w:rPr>
                <w:rFonts w:ascii="仿宋_GB2312" w:hAnsi="仿宋_GB2312" w:cs="仿宋_GB2312" w:eastAsia="仿宋_GB2312"/>
                <w:sz w:val="21"/>
              </w:rPr>
              <w:t>四、服务质量、标准、期限、效率等要求</w:t>
            </w:r>
          </w:p>
          <w:p>
            <w:pPr>
              <w:pStyle w:val="null3"/>
              <w:jc w:val="both"/>
            </w:pPr>
            <w:r>
              <w:rPr>
                <w:rFonts w:ascii="仿宋_GB2312" w:hAnsi="仿宋_GB2312" w:cs="仿宋_GB2312" w:eastAsia="仿宋_GB2312"/>
                <w:sz w:val="21"/>
              </w:rPr>
              <w:t>严格遵循国家及地方相关法规，结合渭南市实际</w:t>
            </w:r>
            <w:r>
              <w:rPr>
                <w:rFonts w:ascii="仿宋_GB2312" w:hAnsi="仿宋_GB2312" w:cs="仿宋_GB2312" w:eastAsia="仿宋_GB2312"/>
                <w:sz w:val="21"/>
              </w:rPr>
              <w:t>情况及采购方</w:t>
            </w:r>
            <w:r>
              <w:rPr>
                <w:rFonts w:ascii="仿宋_GB2312" w:hAnsi="仿宋_GB2312" w:cs="仿宋_GB2312" w:eastAsia="仿宋_GB2312"/>
                <w:sz w:val="21"/>
              </w:rPr>
              <w:t>需求，</w:t>
            </w:r>
            <w:r>
              <w:rPr>
                <w:rFonts w:ascii="仿宋_GB2312" w:hAnsi="仿宋_GB2312" w:cs="仿宋_GB2312" w:eastAsia="仿宋_GB2312"/>
                <w:sz w:val="21"/>
              </w:rPr>
              <w:t>确保鉴定工作及成果资料</w:t>
            </w:r>
            <w:r>
              <w:rPr>
                <w:rFonts w:ascii="仿宋_GB2312" w:hAnsi="仿宋_GB2312" w:cs="仿宋_GB2312" w:eastAsia="仿宋_GB2312"/>
                <w:sz w:val="21"/>
              </w:rPr>
              <w:t>兼具科学性、</w:t>
            </w:r>
            <w:r>
              <w:rPr>
                <w:rFonts w:ascii="仿宋_GB2312" w:hAnsi="仿宋_GB2312" w:cs="仿宋_GB2312" w:eastAsia="仿宋_GB2312"/>
                <w:sz w:val="21"/>
              </w:rPr>
              <w:t>专业性</w:t>
            </w:r>
            <w:r>
              <w:rPr>
                <w:rFonts w:ascii="仿宋_GB2312" w:hAnsi="仿宋_GB2312" w:cs="仿宋_GB2312" w:eastAsia="仿宋_GB2312"/>
                <w:sz w:val="21"/>
              </w:rPr>
              <w:t>与</w:t>
            </w:r>
            <w:r>
              <w:rPr>
                <w:rFonts w:ascii="仿宋_GB2312" w:hAnsi="仿宋_GB2312" w:cs="仿宋_GB2312" w:eastAsia="仿宋_GB2312"/>
                <w:sz w:val="21"/>
              </w:rPr>
              <w:t>准确</w:t>
            </w:r>
            <w:r>
              <w:rPr>
                <w:rFonts w:ascii="仿宋_GB2312" w:hAnsi="仿宋_GB2312" w:cs="仿宋_GB2312" w:eastAsia="仿宋_GB2312"/>
                <w:sz w:val="21"/>
              </w:rPr>
              <w:t>性。</w:t>
            </w:r>
          </w:p>
          <w:p>
            <w:pPr>
              <w:pStyle w:val="null3"/>
              <w:jc w:val="both"/>
            </w:pPr>
            <w:r>
              <w:rPr>
                <w:rFonts w:ascii="仿宋_GB2312" w:hAnsi="仿宋_GB2312" w:cs="仿宋_GB2312" w:eastAsia="仿宋_GB2312"/>
                <w:sz w:val="21"/>
              </w:rPr>
              <w:t>五、成果内容</w:t>
            </w:r>
          </w:p>
          <w:p>
            <w:pPr>
              <w:pStyle w:val="null3"/>
              <w:jc w:val="both"/>
            </w:pPr>
            <w:r>
              <w:rPr>
                <w:rFonts w:ascii="仿宋_GB2312" w:hAnsi="仿宋_GB2312" w:cs="仿宋_GB2312" w:eastAsia="仿宋_GB2312"/>
                <w:sz w:val="21"/>
              </w:rPr>
              <w:t>成果资料</w:t>
            </w:r>
            <w:r>
              <w:rPr>
                <w:rFonts w:ascii="仿宋_GB2312" w:hAnsi="仿宋_GB2312" w:cs="仿宋_GB2312" w:eastAsia="仿宋_GB2312"/>
                <w:sz w:val="21"/>
              </w:rPr>
              <w:t>:电子成果资料1套，纸质成果资料</w:t>
            </w:r>
            <w:r>
              <w:rPr>
                <w:rFonts w:ascii="仿宋_GB2312" w:hAnsi="仿宋_GB2312" w:cs="仿宋_GB2312" w:eastAsia="仿宋_GB2312"/>
                <w:sz w:val="21"/>
              </w:rPr>
              <w:t>2</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六、验收标准</w:t>
            </w:r>
          </w:p>
          <w:p>
            <w:pPr>
              <w:pStyle w:val="null3"/>
              <w:jc w:val="both"/>
            </w:pPr>
            <w:r>
              <w:rPr>
                <w:rFonts w:ascii="仿宋_GB2312" w:hAnsi="仿宋_GB2312" w:cs="仿宋_GB2312" w:eastAsia="仿宋_GB2312"/>
                <w:sz w:val="21"/>
              </w:rPr>
              <w:t>1.质量标准：成果资料</w:t>
            </w:r>
            <w:r>
              <w:rPr>
                <w:rFonts w:ascii="仿宋_GB2312" w:hAnsi="仿宋_GB2312" w:cs="仿宋_GB2312" w:eastAsia="仿宋_GB2312"/>
                <w:sz w:val="21"/>
              </w:rPr>
              <w:t>符合</w:t>
            </w:r>
            <w:r>
              <w:rPr>
                <w:rFonts w:ascii="仿宋_GB2312" w:hAnsi="仿宋_GB2312" w:cs="仿宋_GB2312" w:eastAsia="仿宋_GB2312"/>
                <w:sz w:val="21"/>
              </w:rPr>
              <w:t>国家、</w:t>
            </w:r>
            <w:r>
              <w:rPr>
                <w:rFonts w:ascii="仿宋_GB2312" w:hAnsi="仿宋_GB2312" w:cs="仿宋_GB2312" w:eastAsia="仿宋_GB2312"/>
                <w:sz w:val="21"/>
              </w:rPr>
              <w:t>行业及地方现行</w:t>
            </w:r>
            <w:r>
              <w:rPr>
                <w:rFonts w:ascii="仿宋_GB2312" w:hAnsi="仿宋_GB2312" w:cs="仿宋_GB2312" w:eastAsia="仿宋_GB2312"/>
                <w:sz w:val="21"/>
              </w:rPr>
              <w:t>相关法律、法规及规定。</w:t>
            </w:r>
          </w:p>
          <w:p>
            <w:pPr>
              <w:pStyle w:val="null3"/>
              <w:jc w:val="both"/>
            </w:pPr>
            <w:r>
              <w:rPr>
                <w:rFonts w:ascii="仿宋_GB2312" w:hAnsi="仿宋_GB2312" w:cs="仿宋_GB2312" w:eastAsia="仿宋_GB2312"/>
                <w:sz w:val="21"/>
              </w:rPr>
              <w:t>2.验收标准：按招标文件、投标文件及澄清函、项目检查情况等综合指标进行验收。各项指标均应符合验收标准及要求。</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1、本项目单价最高限价为5.2元/㎡，投标人的单价报价不得超过单价最高限价，否则按无效投标处理。项目总建筑面积暂定为40.75万平方米。 2、本项目合同价款的确定方式：固定单价。</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供应商完成全部服务内容，提交完整的成果资料并通过采购方验收后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3.5.1、政府采购评审中出现下列情形之一的，评审委员会应当启动异常低价投标(响应)审查程序：1.投标(响应)报价低于全部通过符合性审查供应商投标(响应)报价平均值65%的，即投标(响应)报价〈全部通过符合性审查供应商投标(响应)报价平均值X65%；2.投标(响应)报价低于通过符合性审查的次低报价供应商投标(响应)报价65%的，即投标(响应)报价《通过符合性审查的次低报价供应商投标(响应)报价X65%；3.投标(响应)报价低于采购项目最高限价65%的，即投标(响应)报价〈采购项目最高限价X65%；4.评审委员会基于专业判断:认为供应商报价过低，有可能影响产品质量或者不能诚信履约的其他情形。 3.5.2、投标保证金注意事项：（1）以转账、支票、汇票等方式递交投标保证金的，须从供应商基本账户转出。（2）以电子保函形式交纳投标保证金的，供应商应在投标截止时间前将电子保函扫描件发送至代理机构邮箱（sxtwgs@163.com）；供应商应在投标文件中附电子保函扫描件。 3.5.3、中标人应在成交结果公示后2个工作日内提供纸质版投标文件两份（经编标工具生成的投标文件进行下载、打印、装订），提供的纸质版文件内容确保与线上电子投标文件保持一致，不允许修改和补充。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营业执照或法人证书等证明文件</w:t>
            </w:r>
          </w:p>
        </w:tc>
        <w:tc>
          <w:tcPr>
            <w:tcW w:type="dxa" w:w="3322"/>
          </w:tcPr>
          <w:p>
            <w:pPr>
              <w:pStyle w:val="null3"/>
            </w:pPr>
            <w:r>
              <w:rPr>
                <w:rFonts w:ascii="仿宋_GB2312" w:hAnsi="仿宋_GB2312" w:cs="仿宋_GB2312" w:eastAsia="仿宋_GB2312"/>
              </w:rPr>
              <w:t>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为陕西省内企业的，应具有陕西省住房和城乡建设厅颁发的建设工程质量检测机构资质证书(检测范围至少须包含:建筑材料及构配件、主体结构及装饰装修、钢结构、地基基础)；供应商非陕西省内企业的，须具备企业所在省(市)建设行政主管部门颁发的建设工程质量检测机构资质证书(检测范围至少须包含:建筑材料及构配件、主体结构及装饰装修、钢结构、地基基础)并在陕西省住房和城乡建设厅备案（提供备案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法定代表人直接参加投标的，须提供法定代表人身份证明及其身份证扫描件；法定代表人授权他人参加投标的，须提供法定代表人身份证明及法定代表人授权委托书。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经审计的2024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提供具有履行本合同所必需的设备和专业技术能力的声明及承诺。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投标人不得为“信用中国”网站（www.creditchina.gov.cn）中列入重大税收违法失信主体的投标人；不得为“中国执行信息公开网”（https://zxgk.court.gov.cn/）中列入失信被执行人名单的投标人；不得为“中国政府采购网”（www.ccgp.gov.cn）政府采购严重违法失信行为记录名单中被财政部门禁止参加政府采购活动的投标人，以供应商信用记录书面声明函为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政府采购供应商拒绝政府采购领域商业贿赂承诺书.pdf 投标人认为需要提供的其他资料.pdf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投标文件按招标文件要求进行签署、盖章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报价唯一且未超过本项目最高限价</w:t>
            </w:r>
          </w:p>
        </w:tc>
        <w:tc>
          <w:tcPr>
            <w:tcW w:type="dxa" w:w="1661"/>
          </w:tcPr>
          <w:p>
            <w:pPr>
              <w:pStyle w:val="null3"/>
            </w:pPr>
            <w:r>
              <w:rPr>
                <w:rFonts w:ascii="仿宋_GB2312" w:hAnsi="仿宋_GB2312" w:cs="仿宋_GB2312" w:eastAsia="仿宋_GB2312"/>
              </w:rPr>
              <w:t>报价明细表.pdf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对服务和商务要求响应</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商务应答表.pdf 服务内容及服务要求应答表.pdf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投标保证金.pdf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对项目认识和理解</w:t>
            </w:r>
          </w:p>
        </w:tc>
        <w:tc>
          <w:tcPr>
            <w:tcW w:type="dxa" w:w="2492"/>
          </w:tcPr>
          <w:p>
            <w:pPr>
              <w:pStyle w:val="null3"/>
            </w:pPr>
            <w:r>
              <w:rPr>
                <w:rFonts w:ascii="仿宋_GB2312" w:hAnsi="仿宋_GB2312" w:cs="仿宋_GB2312" w:eastAsia="仿宋_GB2312"/>
              </w:rPr>
              <w:t>评审内容：供应商对房屋建筑安全鉴定的项目认识和理解方案，包括：①项目认识理解；②项目实施重难点分析；③项目重难点应对措施。评审标准：1.每项评审内容全面详细、阐述条理清晰详尽、符合本项目采购需求，能保障本项目实施得计4分；2.每项评审内容全面，内容基本合理计3分；3.每项评审内容简单空泛，无针对性计0.5分。4.评审内容每缺一项扣4分，3项共计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对项目认识和理解.pdf</w:t>
            </w:r>
          </w:p>
        </w:tc>
      </w:tr>
      <w:tr>
        <w:tc>
          <w:tcPr>
            <w:tcW w:type="dxa" w:w="831"/>
            <w:vMerge/>
          </w:tcPr>
          <w:p/>
        </w:tc>
        <w:tc>
          <w:tcPr>
            <w:tcW w:type="dxa" w:w="1661"/>
          </w:tcPr>
          <w:p>
            <w:pPr>
              <w:pStyle w:val="null3"/>
            </w:pPr>
            <w:r>
              <w:rPr>
                <w:rFonts w:ascii="仿宋_GB2312" w:hAnsi="仿宋_GB2312" w:cs="仿宋_GB2312" w:eastAsia="仿宋_GB2312"/>
              </w:rPr>
              <w:t>房屋安全鉴定方案</w:t>
            </w:r>
          </w:p>
        </w:tc>
        <w:tc>
          <w:tcPr>
            <w:tcW w:type="dxa" w:w="2492"/>
          </w:tcPr>
          <w:p>
            <w:pPr>
              <w:pStyle w:val="null3"/>
            </w:pPr>
            <w:r>
              <w:rPr>
                <w:rFonts w:ascii="仿宋_GB2312" w:hAnsi="仿宋_GB2312" w:cs="仿宋_GB2312" w:eastAsia="仿宋_GB2312"/>
              </w:rPr>
              <w:t>评审内容：供应商根据本项目采购要求提出针对本项目的房屋安全鉴定方案，包括：①资料核查；②现场情况调查；③地基基础检查；④上部结构构件参数检测；⑤建筑物整体倾斜检测；⑥安全性分析及评定；⑦拟投入仪器设备。评审标准：1.每项评审内容全面详细、阐述条理清晰详尽、符合本项目采购需求，能保障本项目实施得计3分；2.每项评审内容全面，内容基本合理计2分；3.每项评审内容简单空泛，无针对性计0.5分。4.评审内容每缺一项扣3分，7项共计21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房屋安全鉴定方案.pdf</w:t>
            </w:r>
          </w:p>
        </w:tc>
      </w:tr>
      <w:tr>
        <w:tc>
          <w:tcPr>
            <w:tcW w:type="dxa" w:w="831"/>
            <w:vMerge/>
          </w:tcPr>
          <w:p/>
        </w:tc>
        <w:tc>
          <w:tcPr>
            <w:tcW w:type="dxa" w:w="1661"/>
          </w:tcPr>
          <w:p>
            <w:pPr>
              <w:pStyle w:val="null3"/>
            </w:pPr>
            <w:r>
              <w:rPr>
                <w:rFonts w:ascii="仿宋_GB2312" w:hAnsi="仿宋_GB2312" w:cs="仿宋_GB2312" w:eastAsia="仿宋_GB2312"/>
              </w:rPr>
              <w:t>项目的工作进度保障措施及质量保障措施</w:t>
            </w:r>
          </w:p>
        </w:tc>
        <w:tc>
          <w:tcPr>
            <w:tcW w:type="dxa" w:w="2492"/>
          </w:tcPr>
          <w:p>
            <w:pPr>
              <w:pStyle w:val="null3"/>
            </w:pPr>
            <w:r>
              <w:rPr>
                <w:rFonts w:ascii="仿宋_GB2312" w:hAnsi="仿宋_GB2312" w:cs="仿宋_GB2312" w:eastAsia="仿宋_GB2312"/>
              </w:rPr>
              <w:t>评审内容：供应商根据本项目采购要求提出针对本项目的项目的工作进度保障措施及质量保障措施，包括：①项目进度计划；②项目进度保障措施；③项目的质量保障措施等描述和说明。评审标准：1.每项评审内容全面详细、阐述条理清晰详尽、符合本项目采购需求，能保障本项目实施得计3分；2.每项评审内容全面，内容基本合理计2分；3.每项评审内容简单空泛，无针对性计0.5分。4.评审内容每缺一项扣3分，3项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项目的工作进度保障措施及质量保障措施.pdf</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评审内容：供应商根据本项目采购要求提出针对本项目的项目的安全保障措施，包括：①安全管理措施；②安全文明保障措施；③安全应急预案。评审标准：1.每项评审内容全面详细、阐述条理清晰详尽、符合本项目采购需求，能保障本项目实施得计3分；2.每项评审内容全面，内容基本合理计2分；3.每项评审内容简单空泛，无针对性计0.5分。4.评审内容每缺一项扣3分，3项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安全保障措施.pdf</w:t>
            </w:r>
          </w:p>
        </w:tc>
      </w:tr>
      <w:tr>
        <w:tc>
          <w:tcPr>
            <w:tcW w:type="dxa" w:w="831"/>
            <w:vMerge/>
          </w:tcPr>
          <w:p/>
        </w:tc>
        <w:tc>
          <w:tcPr>
            <w:tcW w:type="dxa" w:w="1661"/>
          </w:tcPr>
          <w:p>
            <w:pPr>
              <w:pStyle w:val="null3"/>
            </w:pPr>
            <w:r>
              <w:rPr>
                <w:rFonts w:ascii="仿宋_GB2312" w:hAnsi="仿宋_GB2312" w:cs="仿宋_GB2312" w:eastAsia="仿宋_GB2312"/>
              </w:rPr>
              <w:t>保密管理制度</w:t>
            </w:r>
          </w:p>
        </w:tc>
        <w:tc>
          <w:tcPr>
            <w:tcW w:type="dxa" w:w="2492"/>
          </w:tcPr>
          <w:p>
            <w:pPr>
              <w:pStyle w:val="null3"/>
            </w:pPr>
            <w:r>
              <w:rPr>
                <w:rFonts w:ascii="仿宋_GB2312" w:hAnsi="仿宋_GB2312" w:cs="仿宋_GB2312" w:eastAsia="仿宋_GB2312"/>
              </w:rPr>
              <w:t>评审内容：供应商根据本项目采购要求提出针对本项目的项目的保密管理制度，包括：①保密方案；②保密管理制度。评审标准：1.每项评审内容全面详细、阐述条理清晰详尽、符合本项目采购需求，能保障本项目实施得计3分；2.每项评审内容全面，内容基本合理计2分；3.每项评审内容简单空泛，无针对性计0.5分。4.评审内容每缺一项扣3分，3项共计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保密管理制度.pdf</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1、项目负责人具有工程类专业高级及以上职称的计 2分。 2、项目负责人具备一级注册结构工程师执业资格证书得3分，其余不得分。 3、拟派项目技术团队成员中(不含项目负责人)具有中级职称的得 1 分，高级及以上职称得 2 分,本项最多得6分。（技术团队成员须提供职称证书复印件或扫描件并加盖公章）</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项目组织机构.pdf</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供应商提供2021年2月至今的类似业绩（时间以合同签订时间为准），每提供一份计4分，计满12分为止。备注：附完整合同复印件或扫描件加盖公章作为业绩评审资料,资料不全不得分。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评标基准价的确定：经评标委员会对各投标人符合性审查合格后，以投标报价最低投标价为评标基准价，得20分。 根据下列公式计算出各投标人的报价得分： 投标报价得分=（评标基准价/有效投标报价）×20%×100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详见附件：投标人认为需要提供的其他资料.pdf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详见附件：对项目认识和理解.pdf</w:t>
      </w:r>
    </w:p>
    <w:p>
      <w:pPr>
        <w:pStyle w:val="null3"/>
        <w:ind w:firstLine="960"/>
      </w:pPr>
      <w:r>
        <w:rPr>
          <w:rFonts w:ascii="仿宋_GB2312" w:hAnsi="仿宋_GB2312" w:cs="仿宋_GB2312" w:eastAsia="仿宋_GB2312"/>
        </w:rPr>
        <w:t>详见附件：房屋安全鉴定方案.pdf</w:t>
      </w:r>
    </w:p>
    <w:p>
      <w:pPr>
        <w:pStyle w:val="null3"/>
        <w:ind w:firstLine="960"/>
      </w:pPr>
      <w:r>
        <w:rPr>
          <w:rFonts w:ascii="仿宋_GB2312" w:hAnsi="仿宋_GB2312" w:cs="仿宋_GB2312" w:eastAsia="仿宋_GB2312"/>
        </w:rPr>
        <w:t>详见附件：项目的工作进度保障措施及质量保障措施.pdf</w:t>
      </w:r>
    </w:p>
    <w:p>
      <w:pPr>
        <w:pStyle w:val="null3"/>
        <w:ind w:firstLine="960"/>
      </w:pPr>
      <w:r>
        <w:rPr>
          <w:rFonts w:ascii="仿宋_GB2312" w:hAnsi="仿宋_GB2312" w:cs="仿宋_GB2312" w:eastAsia="仿宋_GB2312"/>
        </w:rPr>
        <w:t>详见附件：安全保障措施.pdf</w:t>
      </w:r>
    </w:p>
    <w:p>
      <w:pPr>
        <w:pStyle w:val="null3"/>
        <w:ind w:firstLine="960"/>
      </w:pPr>
      <w:r>
        <w:rPr>
          <w:rFonts w:ascii="仿宋_GB2312" w:hAnsi="仿宋_GB2312" w:cs="仿宋_GB2312" w:eastAsia="仿宋_GB2312"/>
        </w:rPr>
        <w:t>详见附件：保密管理制度.pdf</w:t>
      </w:r>
    </w:p>
    <w:p>
      <w:pPr>
        <w:pStyle w:val="null3"/>
        <w:ind w:firstLine="960"/>
      </w:pPr>
      <w:r>
        <w:rPr>
          <w:rFonts w:ascii="仿宋_GB2312" w:hAnsi="仿宋_GB2312" w:cs="仿宋_GB2312" w:eastAsia="仿宋_GB2312"/>
        </w:rPr>
        <w:t>详见附件：项目组织机构.pdf</w:t>
      </w:r>
    </w:p>
    <w:p>
      <w:pPr>
        <w:pStyle w:val="null3"/>
        <w:ind w:firstLine="960"/>
      </w:pPr>
      <w:r>
        <w:rPr>
          <w:rFonts w:ascii="仿宋_GB2312" w:hAnsi="仿宋_GB2312" w:cs="仿宋_GB2312" w:eastAsia="仿宋_GB2312"/>
        </w:rPr>
        <w:t>详见附件：类似项目业绩表.pdf</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详见附件：报价明细表.pdf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详见附件：投标保证金.pdf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