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2"/>
        <w:jc w:val="center"/>
        <w:outlineLvl w:val="9"/>
        <w:rPr>
          <w:rFonts w:ascii="宋体" w:hAnsi="宋体" w:cs="宋体"/>
          <w:b/>
          <w:bCs/>
          <w:spacing w:val="-20"/>
          <w:kern w:val="44"/>
          <w:sz w:val="48"/>
          <w:szCs w:val="48"/>
        </w:rPr>
      </w:pPr>
    </w:p>
    <w:p w14:paraId="610D8DAC">
      <w:pPr>
        <w:pStyle w:val="2"/>
        <w:jc w:val="center"/>
        <w:outlineLvl w:val="9"/>
        <w:rPr>
          <w:rFonts w:ascii="宋体" w:hAnsi="宋体" w:cs="宋体"/>
          <w:b/>
          <w:bCs/>
          <w:spacing w:val="-20"/>
          <w:kern w:val="44"/>
          <w:sz w:val="48"/>
          <w:szCs w:val="48"/>
        </w:rPr>
      </w:pPr>
    </w:p>
    <w:p w14:paraId="2DA21C79">
      <w:pPr>
        <w:pStyle w:val="2"/>
        <w:jc w:val="both"/>
        <w:outlineLvl w:val="9"/>
        <w:rPr>
          <w:rFonts w:ascii="宋体" w:hAnsi="宋体" w:cs="宋体"/>
          <w:b/>
          <w:bCs/>
          <w:spacing w:val="-20"/>
          <w:kern w:val="44"/>
          <w:sz w:val="48"/>
          <w:szCs w:val="48"/>
        </w:rPr>
      </w:pPr>
    </w:p>
    <w:p w14:paraId="3AD9C587"/>
    <w:p w14:paraId="354B9B17">
      <w:pPr>
        <w:pStyle w:val="2"/>
        <w:jc w:val="center"/>
        <w:outlineLvl w:val="9"/>
        <w:rPr>
          <w:rFonts w:ascii="宋体" w:hAnsi="宋体" w:cs="宋体"/>
          <w:b/>
          <w:bCs/>
          <w:spacing w:val="-20"/>
          <w:kern w:val="44"/>
          <w:sz w:val="48"/>
          <w:szCs w:val="48"/>
        </w:rPr>
      </w:pPr>
    </w:p>
    <w:p w14:paraId="516A0EB5">
      <w:pPr>
        <w:outlineLvl w:val="9"/>
      </w:pPr>
    </w:p>
    <w:p w14:paraId="40A7F3FA">
      <w:pPr>
        <w:pStyle w:val="2"/>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5"/>
        <w:rPr>
          <w:rFonts w:ascii="仿宋" w:hAnsi="仿宋" w:eastAsia="仿宋" w:cs="仿宋"/>
          <w:b/>
          <w:bCs/>
          <w:spacing w:val="-20"/>
          <w:kern w:val="44"/>
          <w:sz w:val="40"/>
          <w:szCs w:val="40"/>
        </w:rPr>
      </w:pPr>
    </w:p>
    <w:p w14:paraId="12D3C068">
      <w:pPr>
        <w:pStyle w:val="15"/>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环卫新能源车辆采购项目      </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1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F2B0420">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渭南市临渭区环境卫生管理中心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rPr>
        <w:t xml:space="preserve"> 渭南市临渭区环境卫生管理中心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15"/>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环卫新能源车辆采购项目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bookmarkStart w:id="4" w:name="_GoBack"/>
      <w:bookmarkEnd w:id="4"/>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15"/>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5"/>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15"/>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5"/>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合同签订后，采购人10 日支付合同总价款的30%；所有货物安装调试完成，经采购人验收合格后，车辆投入正常使用，采购人 10 日支付剩余合同总价款的70%。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eastAsia"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37ADEEEE">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1.外观验收：设备外观无划痕、变形、破损等缺陷，标识清晰完整，配件齐全。</w:t>
      </w:r>
    </w:p>
    <w:p w14:paraId="7919B22D">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kern w:val="0"/>
          <w:sz w:val="21"/>
          <w:szCs w:val="21"/>
          <w:highlight w:val="none"/>
          <w:u w:val="single"/>
          <w:lang w:val="en-US" w:eastAsia="zh-CN" w:bidi="ar-SA"/>
        </w:rPr>
        <w:t>2.性能验收：按照本需求书规定的技术参数，对设备的显示效果、触控性能、硬件配置、功能等进行逐一测试，测试结果需全部符合要求。</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kern w:val="0"/>
          <w:sz w:val="21"/>
          <w:szCs w:val="21"/>
          <w:highlight w:val="none"/>
          <w:u w:val="single"/>
          <w:lang w:val="en-US" w:eastAsia="zh-CN" w:bidi="ar-SA"/>
        </w:rPr>
        <w:t>3.文档验收：供应商需提供设备出厂合格证、检测报告、使用说明书、保修卡、培训资料等相关文档，文档内容完整、规范。</w:t>
      </w:r>
    </w:p>
    <w:p w14:paraId="45761926">
      <w:pPr>
        <w:pStyle w:val="15"/>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5"/>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2"/>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2"/>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5"/>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2"/>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5"/>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5"/>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5"/>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5"/>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5"/>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5"/>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5"/>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2"/>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5"/>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5"/>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5"/>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5"/>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B15AFC7">
            <w:pPr>
              <w:adjustRightInd w:val="0"/>
              <w:snapToGrid w:val="0"/>
              <w:jc w:val="left"/>
              <w:outlineLvl w:val="9"/>
              <w:rPr>
                <w:rFonts w:hint="eastAsia" w:ascii="仿宋" w:hAnsi="仿宋" w:eastAsia="仿宋" w:cs="仿宋"/>
                <w:sz w:val="22"/>
              </w:rPr>
            </w:pPr>
            <w:r>
              <w:rPr>
                <w:rFonts w:hint="eastAsia" w:ascii="仿宋" w:hAnsi="仿宋" w:eastAsia="仿宋" w:cs="仿宋"/>
                <w:sz w:val="22"/>
              </w:rPr>
              <w:t>初验：货物到达交货地点后，由使用单位根据合同对货物的名称、品牌、规格、型号、产地、数量进行检查。</w:t>
            </w:r>
          </w:p>
          <w:p w14:paraId="519EC26E">
            <w:pPr>
              <w:adjustRightInd w:val="0"/>
              <w:snapToGrid w:val="0"/>
              <w:jc w:val="left"/>
              <w:outlineLvl w:val="9"/>
              <w:rPr>
                <w:rFonts w:hint="eastAsia" w:ascii="仿宋" w:hAnsi="仿宋" w:eastAsia="仿宋" w:cs="仿宋"/>
                <w:sz w:val="22"/>
              </w:rPr>
            </w:pPr>
            <w:r>
              <w:rPr>
                <w:rFonts w:hint="eastAsia" w:ascii="仿宋" w:hAnsi="仿宋" w:eastAsia="仿宋" w:cs="仿宋"/>
                <w:sz w:val="22"/>
              </w:rPr>
              <w:t xml:space="preserve">终验：所有货物安装、调试完毕，正常使用15个日历日后，由采购人进行终验（最终验收），合格后签发《终验合格单》。    </w:t>
            </w:r>
          </w:p>
          <w:p w14:paraId="084B20C6">
            <w:pPr>
              <w:adjustRightInd w:val="0"/>
              <w:snapToGrid w:val="0"/>
              <w:jc w:val="left"/>
              <w:outlineLvl w:val="9"/>
              <w:rPr>
                <w:rFonts w:ascii="仿宋" w:hAnsi="仿宋" w:eastAsia="仿宋" w:cs="仿宋"/>
                <w:sz w:val="22"/>
              </w:rPr>
            </w:pPr>
            <w:r>
              <w:rPr>
                <w:rFonts w:hint="eastAsia" w:ascii="仿宋" w:hAnsi="仿宋" w:eastAsia="仿宋" w:cs="仿宋"/>
                <w:sz w:val="22"/>
              </w:rPr>
              <w:t>验收不合格的货物，中标单位必须在接到通知后7个日历日内确保货物通过验收。如接到通知后7个日历日内验收仍不合格，采购人可提出索赔或取消其供货合同。采购代理机构将把中标资格授予评审排序下一名的中标单位。</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供应商负责车辆上牌工作，上牌时需要采购人提供材料的，采购人予以配合。</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7847FDD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1.供应商负责办理将货物或服务运送至交货地点的一切事项，包括包装、配送、安装调试、技术培训、上牌、车辆保险、售后服务、购买车辆购置税、验收等完成项目的所有相关工作，所有费用一次性计入投标价格中，合同履约过程中采购人不再支付其他额外费用。 </w:t>
            </w:r>
          </w:p>
          <w:p w14:paraId="181E122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2.供应商负责车辆上牌工作，上牌时需要采购人提供材料的，采购人予以配合，上牌时产生的所有相关费用由供应商承担。</w:t>
            </w:r>
          </w:p>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3.供应商需对上牌的车辆购买车辆保险（含车船税），车辆保险至少包含机动车交通事故责任强制保险及商业保险，商业保险包含第三者责任险（不少于100万元）、驾乘险及车损险。</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ascii="仿宋" w:hAnsi="仿宋" w:eastAsia="仿宋" w:cs="仿宋"/>
                <w:sz w:val="22"/>
              </w:rPr>
            </w:pPr>
            <w:r>
              <w:rPr>
                <w:rFonts w:hint="eastAsia" w:ascii="仿宋" w:hAnsi="仿宋" w:eastAsia="仿宋" w:cs="仿宋"/>
                <w:sz w:val="22"/>
              </w:rPr>
              <w:t>渭南市临渭区环境卫生管理中心</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r>
              <w:rPr>
                <w:rFonts w:hint="eastAsia" w:ascii="仿宋" w:hAnsi="仿宋" w:eastAsia="仿宋" w:cs="仿宋"/>
                <w:sz w:val="22"/>
              </w:rPr>
              <w:t>供应商需对上牌的车辆购买车辆保险（含车船税），车辆保险至少包含机动车交通事故责任强制保险及商业保险，商业保险包含第三者责任险（不少于100万元）、驾乘险及车损险。</w:t>
            </w: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r>
              <w:rPr>
                <w:rFonts w:hint="eastAsia" w:ascii="仿宋" w:hAnsi="仿宋" w:eastAsia="仿宋" w:cs="仿宋"/>
                <w:sz w:val="22"/>
                <w:lang w:eastAsia="zh-CN"/>
              </w:rPr>
              <w:t>所有货物以验收之日为质保起始日期，整车质保期不低于一年， 其中新能源车辆三电系统：不低于8年或20万公里。保修期内，由于货物设计缺陷或货物本身的质量问题，出现故障而3个月内未将其修好，厂商保证免费更换全新的货物(如有新型号同类货物，均免费更换)。质保期出现的质量问题由中标人负责解决并承担所有费用。</w:t>
            </w: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r>
              <w:rPr>
                <w:rFonts w:hint="eastAsia" w:ascii="仿宋" w:hAnsi="仿宋" w:eastAsia="仿宋" w:cs="仿宋"/>
                <w:sz w:val="22"/>
              </w:rPr>
              <w:t>在货物使用期间，出现故障或异常，供应商应在4小时内响应，24小时内到现场进行维修。故障严重不能及时解决时，应及时告知采购人。如不能在24小时内排除故障，应更换备件，故障备件应及时修复，并做好相应的记录。如因自身技术能力不足无法修复，需委托货物生产厂商服务的，供货单位须负责相关费用。</w:t>
            </w: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5"/>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r>
              <w:rPr>
                <w:rFonts w:hint="eastAsia" w:ascii="仿宋" w:hAnsi="仿宋" w:eastAsia="仿宋" w:cs="仿宋"/>
                <w:sz w:val="22"/>
              </w:rPr>
              <w:t>合同签订后，采购人10 日支付合同总价款的30%；所有货物安装调试完成，经采购人验收合格后，车辆投入正常使用，采购人 10 日支付剩余合同总价款的70%。</w:t>
            </w: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供应商需为工作人员提供相关的操作培训，培训内容包括设备基本操作、功能使用、日常维护等，确保相关人员能熟练使用设备；培训可采用现场培训或线上培训方式，具体时间由双方协商确定。</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0E384E30">
            <w:pPr>
              <w:adjustRightInd w:val="0"/>
              <w:snapToGrid w:val="0"/>
              <w:jc w:val="left"/>
              <w:outlineLvl w:val="9"/>
              <w:rPr>
                <w:rFonts w:hint="eastAsia" w:ascii="仿宋" w:hAnsi="仿宋" w:eastAsia="仿宋" w:cs="仿宋"/>
                <w:sz w:val="22"/>
              </w:rPr>
            </w:pPr>
            <w:r>
              <w:rPr>
                <w:rFonts w:hint="eastAsia" w:ascii="仿宋" w:hAnsi="仿宋" w:eastAsia="仿宋" w:cs="仿宋"/>
                <w:sz w:val="22"/>
              </w:rPr>
              <w:t>1.供应商保证所有设备质量必须符合国家有关规范和相关政策。所有设备及辅材必须是未使用过的新货物，质量优良、渠道正当，配置合理，所提供车辆必须为全新合格车辆，不能是二手车、运损车、事故车。</w:t>
            </w:r>
          </w:p>
          <w:p w14:paraId="0A1A4C8E">
            <w:pPr>
              <w:adjustRightInd w:val="0"/>
              <w:snapToGrid w:val="0"/>
              <w:jc w:val="left"/>
              <w:outlineLvl w:val="9"/>
              <w:rPr>
                <w:rFonts w:hint="eastAsia" w:ascii="仿宋" w:hAnsi="仿宋" w:eastAsia="仿宋" w:cs="仿宋"/>
                <w:sz w:val="22"/>
              </w:rPr>
            </w:pPr>
            <w:r>
              <w:rPr>
                <w:rFonts w:hint="eastAsia" w:ascii="仿宋" w:hAnsi="仿宋" w:eastAsia="仿宋" w:cs="仿宋"/>
                <w:sz w:val="22"/>
              </w:rPr>
              <w:t>2.设备符合环保安全相关标准，确保设备能够满足作业的实际需求，提高作业效率和质量。</w:t>
            </w:r>
          </w:p>
          <w:p w14:paraId="51B0D3C7">
            <w:pPr>
              <w:adjustRightInd w:val="0"/>
              <w:snapToGrid w:val="0"/>
              <w:jc w:val="left"/>
              <w:outlineLvl w:val="9"/>
              <w:rPr>
                <w:rFonts w:ascii="仿宋" w:hAnsi="仿宋" w:eastAsia="仿宋" w:cs="仿宋"/>
                <w:sz w:val="22"/>
              </w:rPr>
            </w:pPr>
            <w:r>
              <w:rPr>
                <w:rFonts w:hint="eastAsia" w:ascii="仿宋" w:hAnsi="仿宋" w:eastAsia="仿宋" w:cs="仿宋"/>
                <w:sz w:val="22"/>
              </w:rPr>
              <w:t>3.供应商提供的产品及材料必须为原厂正品，保证质量可靠，进货渠道正常，配置合理齐全，所供产品工艺质量应严格按国家最新发布的规范标准执行，如发生质量问题由供应商承担全部责任。</w:t>
            </w: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17D24886">
            <w:pPr>
              <w:adjustRightInd w:val="0"/>
              <w:snapToGrid w:val="0"/>
              <w:jc w:val="left"/>
              <w:outlineLvl w:val="9"/>
              <w:rPr>
                <w:rFonts w:ascii="仿宋" w:hAnsi="仿宋" w:eastAsia="仿宋" w:cs="仿宋"/>
                <w:sz w:val="22"/>
                <w:u w:val="single"/>
              </w:rPr>
            </w:pPr>
            <w:r>
              <w:rPr>
                <w:rFonts w:hint="eastAsia" w:ascii="仿宋" w:hAnsi="仿宋" w:eastAsia="仿宋" w:cs="仿宋"/>
                <w:sz w:val="22"/>
                <w:u w:val="none"/>
              </w:rPr>
              <w:t>若未能在交货期内完成合同规定的义务，由此对采购人造成的延误和一切损失，由中标人承担和赔偿。</w:t>
            </w: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626C76"/>
    <w:rsid w:val="17773DA4"/>
    <w:rsid w:val="17C347DA"/>
    <w:rsid w:val="182061EA"/>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B150F1C"/>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6">
    <w:name w:val="标题 1 Char"/>
    <w:link w:val="3"/>
    <w:autoRedefine/>
    <w:qFormat/>
    <w:uiPriority w:val="0"/>
    <w:rPr>
      <w:rFonts w:ascii="Calibri" w:hAnsi="Calibri" w:eastAsia="宋体" w:cs="Times New Roman"/>
      <w:b/>
      <w:bCs/>
      <w:kern w:val="44"/>
      <w:sz w:val="44"/>
      <w:szCs w:val="44"/>
    </w:rPr>
  </w:style>
  <w:style w:type="character" w:customStyle="1" w:styleId="17">
    <w:name w:val="标题 2 Char"/>
    <w:link w:val="4"/>
    <w:autoRedefine/>
    <w:qFormat/>
    <w:uiPriority w:val="0"/>
    <w:rPr>
      <w:rFonts w:ascii="Cambria" w:hAnsi="Cambria" w:eastAsia="宋体" w:cs="Times New Roman"/>
      <w:b/>
      <w:bCs/>
      <w:sz w:val="32"/>
      <w:szCs w:val="32"/>
    </w:rPr>
  </w:style>
  <w:style w:type="character" w:customStyle="1" w:styleId="18">
    <w:name w:val="标题 3 Char"/>
    <w:link w:val="5"/>
    <w:autoRedefine/>
    <w:qFormat/>
    <w:uiPriority w:val="0"/>
    <w:rPr>
      <w:rFonts w:ascii="Calibri" w:hAnsi="Calibri" w:eastAsia="宋体" w:cs="Times New Roman"/>
      <w:b/>
      <w:bCs/>
      <w:sz w:val="32"/>
      <w:szCs w:val="32"/>
    </w:rPr>
  </w:style>
  <w:style w:type="character" w:customStyle="1" w:styleId="19">
    <w:name w:val="标题 4 Char"/>
    <w:link w:val="6"/>
    <w:autoRedefine/>
    <w:semiHidden/>
    <w:qFormat/>
    <w:uiPriority w:val="9"/>
    <w:rPr>
      <w:rFonts w:ascii="Cambria" w:hAnsi="Cambria" w:eastAsia="宋体" w:cs="Times New Roman"/>
      <w:b/>
      <w:bCs/>
      <w:sz w:val="28"/>
      <w:szCs w:val="28"/>
    </w:rPr>
  </w:style>
  <w:style w:type="character" w:customStyle="1" w:styleId="20">
    <w:name w:val="标题 5 Char"/>
    <w:link w:val="7"/>
    <w:autoRedefine/>
    <w:qFormat/>
    <w:uiPriority w:val="9"/>
    <w:rPr>
      <w:rFonts w:ascii="Calibri" w:hAnsi="Calibri" w:eastAsia="宋体" w:cs="Times New Roman"/>
      <w:b/>
      <w:bCs/>
      <w:sz w:val="28"/>
      <w:szCs w:val="28"/>
    </w:rPr>
  </w:style>
  <w:style w:type="character" w:customStyle="1" w:styleId="21">
    <w:name w:val="页眉 Char"/>
    <w:link w:val="11"/>
    <w:autoRedefine/>
    <w:qFormat/>
    <w:uiPriority w:val="0"/>
    <w:rPr>
      <w:kern w:val="2"/>
      <w:sz w:val="18"/>
      <w:szCs w:val="18"/>
    </w:rPr>
  </w:style>
  <w:style w:type="character" w:customStyle="1" w:styleId="22">
    <w:name w:val="页脚 Char"/>
    <w:link w:val="10"/>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9863</Words>
  <Characters>10154</Characters>
  <Lines>30</Lines>
  <Paragraphs>8</Paragraphs>
  <TotalTime>0</TotalTime>
  <ScaleCrop>false</ScaleCrop>
  <LinksUpToDate>false</LinksUpToDate>
  <CharactersWithSpaces>10948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WPS_1763105243</cp:lastModifiedBy>
  <cp:lastPrinted>2026-03-12T10:03:00Z</cp:lastPrinted>
  <dcterms:modified xsi:type="dcterms:W3CDTF">2026-03-17T08:35:52Z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B2C214AF761C4356AEB7F46A37699FF0_13</vt:lpwstr>
  </property>
  <property fmtid="{D5CDD505-2E9C-101B-9397-08002B2CF9AE}" pid="4" name="KSOTemplateDocerSaveRecord">
    <vt:lpwstr>eyJoZGlkIjoiNzRmYTc3NGRiZGYyYzEyMDJmNGQwMjAyYmI3NjZiYWUiLCJ1c2VySWQiOiIxNzcwMzk1OTI4In0=</vt:lpwstr>
  </property>
</Properties>
</file>