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版本号：ZCSP-临渭区-2026-0005320260319001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信息化系统升级服务采购项目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ZCSP-临渭区-2026-00053</w:t>
      </w:r>
      <w:r>
        <w:br/>
      </w:r>
      <w:r>
        <w:br/>
      </w:r>
      <w:r>
        <w:br/>
      </w:r>
    </w:p>
    <w:p>
      <w:pPr>
        <w:pStyle w:val="null3"/>
        <w:jc w:val="center"/>
        <w:outlineLvl w:val="2"/>
      </w:pPr>
      <w:r>
        <w:rPr>
          <w:rFonts w:ascii="仿宋_GB2312" w:hAnsi="仿宋_GB2312" w:cs="仿宋_GB2312" w:eastAsia="仿宋_GB2312"/>
          <w:sz w:val="28"/>
          <w:b/>
        </w:rPr>
        <w:t>渭南市临渭区中医医院</w:t>
      </w:r>
    </w:p>
    <w:p>
      <w:pPr>
        <w:pStyle w:val="null3"/>
        <w:jc w:val="center"/>
        <w:outlineLvl w:val="2"/>
      </w:pPr>
      <w:r>
        <w:rPr>
          <w:rFonts w:ascii="仿宋_GB2312" w:hAnsi="仿宋_GB2312" w:cs="仿宋_GB2312" w:eastAsia="仿宋_GB2312"/>
          <w:sz w:val="28"/>
          <w:b/>
        </w:rPr>
        <w:t>陕西嘉信至诚项目管理有限公司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陕西嘉信至诚项目管理有限公司</w:t>
      </w:r>
      <w:r>
        <w:rPr>
          <w:rFonts w:ascii="仿宋_GB2312" w:hAnsi="仿宋_GB2312" w:cs="仿宋_GB2312" w:eastAsia="仿宋_GB2312"/>
        </w:rPr>
        <w:t>（以下简称“代理机构”）受</w:t>
      </w:r>
      <w:r>
        <w:rPr>
          <w:rFonts w:ascii="仿宋_GB2312" w:hAnsi="仿宋_GB2312" w:cs="仿宋_GB2312" w:eastAsia="仿宋_GB2312"/>
        </w:rPr>
        <w:t>渭南市临渭区中医医院</w:t>
      </w:r>
      <w:r>
        <w:rPr>
          <w:rFonts w:ascii="仿宋_GB2312" w:hAnsi="仿宋_GB2312" w:cs="仿宋_GB2312" w:eastAsia="仿宋_GB2312"/>
        </w:rPr>
        <w:t>委托，拟对</w:t>
      </w:r>
      <w:r>
        <w:rPr>
          <w:rFonts w:ascii="仿宋_GB2312" w:hAnsi="仿宋_GB2312" w:cs="仿宋_GB2312" w:eastAsia="仿宋_GB2312"/>
        </w:rPr>
        <w:t>信息化系统升级服务采购项目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ZCSP-临渭区-2026-00053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信息化系统升级服务采购项目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通过采购信息化系统升级服务推动我院信息化建设高质量发展，满足医院需求。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1、法定代表人授权书/法定代表人身份证明：法定代表人参与投标时需提供法定代表人身份证明；被授权人参与投标时需提供法定代表人身份证明及法定代表人授权委托书</w:t>
      </w:r>
    </w:p>
    <w:p>
      <w:pPr>
        <w:pStyle w:val="null3"/>
      </w:pPr>
      <w:r>
        <w:rPr>
          <w:rFonts w:ascii="仿宋_GB2312" w:hAnsi="仿宋_GB2312" w:cs="仿宋_GB2312" w:eastAsia="仿宋_GB2312"/>
        </w:rPr>
        <w:t>2、磋商保证金交纳凭证：磋商保证金交纳凭证</w:t>
      </w:r>
    </w:p>
    <w:p>
      <w:pPr>
        <w:pStyle w:val="null3"/>
      </w:pPr>
      <w:r>
        <w:rPr>
          <w:rFonts w:ascii="仿宋_GB2312" w:hAnsi="仿宋_GB2312" w:cs="仿宋_GB2312" w:eastAsia="仿宋_GB2312"/>
        </w:rPr>
        <w:t>3、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渭南市临渭区中医医院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渭南市临渭区城南街中段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0913-2556019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陕西嘉信至诚项目管理有限公司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陕西省渭南市临渭区解放路与双王街十字东南角商贸楼三楼东侧（槐衙曦和公馆南门斜对面）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刘仁杰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0913-2130688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吕洁</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采购包1保证金金额：4,800.00元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开户名称：陕西嘉信至诚项目管理有限公司</w:t>
            </w:r>
          </w:p>
          <w:p>
            <w:pPr>
              <w:pStyle w:val="null3"/>
            </w:pPr>
            <w:r>
              <w:rPr>
                <w:rFonts w:ascii="仿宋_GB2312" w:hAnsi="仿宋_GB2312" w:cs="仿宋_GB2312" w:eastAsia="仿宋_GB2312"/>
              </w:rPr>
              <w:t>开户银行：中国银行渭南分行营业部</w:t>
            </w:r>
          </w:p>
          <w:p>
            <w:pPr>
              <w:pStyle w:val="null3"/>
            </w:pPr>
            <w:r>
              <w:rPr>
                <w:rFonts w:ascii="仿宋_GB2312" w:hAnsi="仿宋_GB2312" w:cs="仿宋_GB2312" w:eastAsia="仿宋_GB2312"/>
              </w:rPr>
              <w:t>银行账号：103714785487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 按照《国家发展改革委关于进一步放开建设项目专业服务价格的通知》（发改价格﹝2015﹞299号）的要求，参照《招标代理服务收费管理暂行办法》（国家发改委计价格〔2002〕1980号）以及国家发改价格〔2011〕534号文件规定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渭南市临渭区中医医院</w:t>
      </w:r>
      <w:r>
        <w:rPr>
          <w:rFonts w:ascii="仿宋_GB2312" w:hAnsi="仿宋_GB2312" w:cs="仿宋_GB2312" w:eastAsia="仿宋_GB2312"/>
        </w:rPr>
        <w:t>和</w:t>
      </w:r>
      <w:r>
        <w:rPr>
          <w:rFonts w:ascii="仿宋_GB2312" w:hAnsi="仿宋_GB2312" w:cs="仿宋_GB2312" w:eastAsia="仿宋_GB2312"/>
        </w:rPr>
        <w:t>陕西嘉信至诚项目管理有限公司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渭南市临渭区中医医院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陕西嘉信至诚项目管理有限公司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渭南市临渭区中医医院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陕西嘉信至诚项目管理有限公司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服务质量达到国家相关法律法规要求、磋商文件、磋商响应文件及采购人要求。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联系人：刘仁杰</w:t>
      </w:r>
    </w:p>
    <w:p>
      <w:pPr>
        <w:pStyle w:val="null3"/>
      </w:pPr>
      <w:r>
        <w:rPr>
          <w:rFonts w:ascii="仿宋_GB2312" w:hAnsi="仿宋_GB2312" w:cs="仿宋_GB2312" w:eastAsia="仿宋_GB2312"/>
        </w:rPr>
        <w:t>联系电话：0913-2130688</w:t>
      </w:r>
    </w:p>
    <w:p>
      <w:pPr>
        <w:pStyle w:val="null3"/>
      </w:pPr>
      <w:r>
        <w:rPr>
          <w:rFonts w:ascii="仿宋_GB2312" w:hAnsi="仿宋_GB2312" w:cs="仿宋_GB2312" w:eastAsia="仿宋_GB2312"/>
        </w:rPr>
        <w:t>地址：陕西省渭南市临渭区解放路与双王街十字东南角商贸楼院内</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通过采购信息化系统升级服务推动我院信息化建设高质量发展，满足医院需求。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480,000.00</w:t>
      </w:r>
    </w:p>
    <w:p>
      <w:pPr>
        <w:pStyle w:val="null3"/>
      </w:pPr>
      <w:r>
        <w:rPr>
          <w:rFonts w:ascii="仿宋_GB2312" w:hAnsi="仿宋_GB2312" w:cs="仿宋_GB2312" w:eastAsia="仿宋_GB2312"/>
        </w:rPr>
        <w:t>采购包最高限价（元）: 480,000.00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信息化系统升级服务采购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标的名称：信息化系统升级服务采购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02"/>
              <w:jc w:val="left"/>
            </w:pPr>
            <w:r>
              <w:rPr>
                <w:rFonts w:ascii="仿宋_GB2312" w:hAnsi="仿宋_GB2312" w:cs="仿宋_GB2312" w:eastAsia="仿宋_GB2312"/>
              </w:rPr>
              <w:t>云升级服务</w:t>
            </w:r>
          </w:p>
          <w:p>
            <w:pPr>
              <w:pStyle w:val="null3"/>
            </w:pPr>
            <w:r>
              <w:rPr>
                <w:rFonts w:ascii="仿宋_GB2312" w:hAnsi="仿宋_GB2312" w:cs="仿宋_GB2312" w:eastAsia="仿宋_GB2312"/>
              </w:rPr>
              <w:t>（1）要求基于云原生技术，构建高可用服务</w:t>
            </w:r>
          </w:p>
          <w:p>
            <w:pPr>
              <w:pStyle w:val="null3"/>
            </w:pPr>
            <w:r>
              <w:rPr>
                <w:rFonts w:ascii="仿宋_GB2312" w:hAnsi="仿宋_GB2312" w:cs="仿宋_GB2312" w:eastAsia="仿宋_GB2312"/>
              </w:rPr>
              <w:t>需面向医院的业务要求，利用云原生简单易扩展的优势，提供稳定可靠的应用服务。</w:t>
            </w:r>
          </w:p>
          <w:p>
            <w:pPr>
              <w:pStyle w:val="null3"/>
            </w:pPr>
            <w:r>
              <w:rPr>
                <w:rFonts w:ascii="仿宋_GB2312" w:hAnsi="仿宋_GB2312" w:cs="仿宋_GB2312" w:eastAsia="仿宋_GB2312"/>
              </w:rPr>
              <w:t>需利用云原生特性，保障系统在应用快速迭代变化的同时，既可以保持高度的可用性、多节点、负载均衡、弹性扩展等特性，又具备高效处理、水平扩展和数据高并发访问的能力。</w:t>
            </w:r>
          </w:p>
          <w:p>
            <w:pPr>
              <w:pStyle w:val="null3"/>
            </w:pPr>
            <w:r>
              <w:rPr>
                <w:rFonts w:ascii="仿宋_GB2312" w:hAnsi="仿宋_GB2312" w:cs="仿宋_GB2312" w:eastAsia="仿宋_GB2312"/>
              </w:rPr>
              <w:t>（2）各个业务模块应具有统一的前端框架、设计风格、高度一致的交互体验</w:t>
            </w:r>
          </w:p>
          <w:p>
            <w:pPr>
              <w:pStyle w:val="null3"/>
            </w:pPr>
            <w:r>
              <w:rPr>
                <w:rFonts w:ascii="仿宋_GB2312" w:hAnsi="仿宋_GB2312" w:cs="仿宋_GB2312" w:eastAsia="仿宋_GB2312"/>
              </w:rPr>
              <w:t>要求系统从样式、组件、框架、组件交互四个维度实现体验标准化，保障基础体验、交互体验的高度一致。</w:t>
            </w:r>
          </w:p>
          <w:p>
            <w:pPr>
              <w:pStyle w:val="null3"/>
            </w:pPr>
            <w:r>
              <w:rPr>
                <w:rFonts w:ascii="仿宋_GB2312" w:hAnsi="仿宋_GB2312" w:cs="仿宋_GB2312" w:eastAsia="仿宋_GB2312"/>
              </w:rPr>
              <w:t>（3）采用微服务架构，搭建业务中台、数据中台等中台服务。</w:t>
            </w:r>
          </w:p>
          <w:p>
            <w:pPr>
              <w:pStyle w:val="null3"/>
            </w:pPr>
            <w:r>
              <w:rPr>
                <w:rFonts w:ascii="仿宋_GB2312" w:hAnsi="仿宋_GB2312" w:cs="仿宋_GB2312" w:eastAsia="仿宋_GB2312"/>
              </w:rPr>
              <w:t>要求能够将不同模块、不同业务单元、不同应用程序有机且良好的结合起来，实现服务的轻量化、标准化、快速响应化。</w:t>
            </w:r>
          </w:p>
          <w:p>
            <w:pPr>
              <w:pStyle w:val="null3"/>
            </w:pPr>
            <w:r>
              <w:rPr>
                <w:rFonts w:ascii="仿宋_GB2312" w:hAnsi="仿宋_GB2312" w:cs="仿宋_GB2312" w:eastAsia="仿宋_GB2312"/>
              </w:rPr>
              <w:t>需构建业务中台、数据中台等中台服务，使系统能够提供高可用、高稳定、快速访问和响应的同时，还能够做到服务模块化、可配置化。</w:t>
            </w:r>
          </w:p>
          <w:p>
            <w:pPr>
              <w:pStyle w:val="null3"/>
            </w:pPr>
            <w:r>
              <w:rPr>
                <w:rFonts w:ascii="仿宋_GB2312" w:hAnsi="仿宋_GB2312" w:cs="仿宋_GB2312" w:eastAsia="仿宋_GB2312"/>
              </w:rPr>
              <w:t>（4）要求将系统，进行云化升级</w:t>
            </w:r>
          </w:p>
          <w:p>
            <w:pPr>
              <w:pStyle w:val="null3"/>
            </w:pPr>
            <w:r>
              <w:rPr>
                <w:rFonts w:ascii="仿宋_GB2312" w:hAnsi="仿宋_GB2312" w:cs="仿宋_GB2312" w:eastAsia="仿宋_GB2312"/>
              </w:rPr>
              <w:t>要求将本地系统迁移到云，实现系统的云化升级。投标人需保证云上的系统与本地系统的衔接和过渡，实现云上系统的正常运行。</w:t>
            </w:r>
          </w:p>
          <w:p>
            <w:pPr>
              <w:pStyle w:val="null3"/>
            </w:pPr>
            <w:r>
              <w:rPr>
                <w:rFonts w:ascii="仿宋_GB2312" w:hAnsi="仿宋_GB2312" w:cs="仿宋_GB2312" w:eastAsia="仿宋_GB2312"/>
              </w:rPr>
              <w:t>（5）要求使用无版权纠纷的数据库，避免数据制约</w:t>
            </w:r>
          </w:p>
          <w:p>
            <w:pPr>
              <w:pStyle w:val="null3"/>
            </w:pPr>
            <w:r>
              <w:rPr>
                <w:rFonts w:ascii="仿宋_GB2312" w:hAnsi="仿宋_GB2312" w:cs="仿宋_GB2312" w:eastAsia="仿宋_GB2312"/>
              </w:rPr>
              <w:t>为避免因技术问题造成数据库软件不被授权、不能使用，整个医院系统瘫痪等问题；软件升级后需保证数据库无版权纠纷。</w:t>
            </w:r>
          </w:p>
          <w:p>
            <w:pPr>
              <w:pStyle w:val="null3"/>
            </w:pPr>
            <w:r>
              <w:rPr>
                <w:rFonts w:ascii="仿宋_GB2312" w:hAnsi="仿宋_GB2312" w:cs="仿宋_GB2312" w:eastAsia="仿宋_GB2312"/>
              </w:rPr>
              <w:t>（6）应用+中台架构，支持快速响应政策要求变更</w:t>
            </w:r>
          </w:p>
          <w:p>
            <w:pPr>
              <w:pStyle w:val="null3"/>
            </w:pPr>
            <w:r>
              <w:rPr>
                <w:rFonts w:ascii="仿宋_GB2312" w:hAnsi="仿宋_GB2312" w:cs="仿宋_GB2312" w:eastAsia="仿宋_GB2312"/>
              </w:rPr>
              <w:t>支持在业务中台基础之上，根据国家政策要求变更，复用中台基础能力，快速构建应用支持。</w:t>
            </w:r>
          </w:p>
          <w:p>
            <w:pPr>
              <w:pStyle w:val="null3"/>
            </w:pPr>
            <w:r>
              <w:rPr>
                <w:rFonts w:ascii="仿宋_GB2312" w:hAnsi="仿宋_GB2312" w:cs="仿宋_GB2312" w:eastAsia="仿宋_GB2312"/>
              </w:rPr>
              <w:t>（7）要求支持无感升级</w:t>
            </w:r>
          </w:p>
          <w:p>
            <w:pPr>
              <w:pStyle w:val="null3"/>
            </w:pPr>
            <w:r>
              <w:rPr>
                <w:rFonts w:ascii="仿宋_GB2312" w:hAnsi="仿宋_GB2312" w:cs="仿宋_GB2312" w:eastAsia="仿宋_GB2312"/>
              </w:rPr>
              <w:t>应支持在系统升级过程中，无感知、无影响、无侵入；支持灰度发布、金丝雀发布、蓝绿发布、AB发布等常见过渡发布方式。要求业务系统具有完善的预警、监测机制。</w:t>
            </w:r>
          </w:p>
          <w:p>
            <w:pPr>
              <w:pStyle w:val="null3"/>
            </w:pPr>
            <w:r>
              <w:rPr>
                <w:rFonts w:ascii="仿宋_GB2312" w:hAnsi="仿宋_GB2312" w:cs="仿宋_GB2312" w:eastAsia="仿宋_GB2312"/>
              </w:rPr>
              <w:t>（8）升级模块清单</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序号</w:t>
                  </w:r>
                </w:p>
              </w:tc>
              <w:tc>
                <w:tcPr>
                  <w:tcW w:type="dxa" w:w="851"/>
                </w:tcPr>
                <w:p>
                  <w:pPr>
                    <w:pStyle w:val="null3"/>
                  </w:pPr>
                  <w:r>
                    <w:rPr>
                      <w:rFonts w:ascii="仿宋_GB2312" w:hAnsi="仿宋_GB2312" w:cs="仿宋_GB2312" w:eastAsia="仿宋_GB2312"/>
                    </w:rPr>
                    <w:t>模块名称</w:t>
                  </w:r>
                </w:p>
              </w:tc>
              <w:tc>
                <w:tcPr>
                  <w:tcW w:type="dxa" w:w="851"/>
                </w:tcPr>
                <w:p>
                  <w:pPr>
                    <w:pStyle w:val="null3"/>
                  </w:pPr>
                  <w:r>
                    <w:rPr>
                      <w:rFonts w:ascii="仿宋_GB2312" w:hAnsi="仿宋_GB2312" w:cs="仿宋_GB2312" w:eastAsia="仿宋_GB2312"/>
                    </w:rPr>
                    <w:t>备注</w:t>
                  </w:r>
                </w:p>
              </w:tc>
            </w:tr>
            <w:tr>
              <w:tc>
                <w:tcPr>
                  <w:tcW w:type="dxa" w:w="851"/>
                </w:tcPr>
                <w:p>
                  <w:pPr>
                    <w:pStyle w:val="null3"/>
                  </w:pPr>
                  <w:r>
                    <w:rPr>
                      <w:rFonts w:ascii="仿宋_GB2312" w:hAnsi="仿宋_GB2312" w:cs="仿宋_GB2312" w:eastAsia="仿宋_GB2312"/>
                    </w:rPr>
                    <w:t>1</w:t>
                  </w:r>
                </w:p>
              </w:tc>
              <w:tc>
                <w:tcPr>
                  <w:tcW w:type="dxa" w:w="851"/>
                </w:tcPr>
                <w:p>
                  <w:pPr>
                    <w:pStyle w:val="null3"/>
                  </w:pPr>
                  <w:r>
                    <w:rPr>
                      <w:rFonts w:ascii="仿宋_GB2312" w:hAnsi="仿宋_GB2312" w:cs="仿宋_GB2312" w:eastAsia="仿宋_GB2312"/>
                    </w:rPr>
                    <w:t>HIS系统</w:t>
                  </w:r>
                </w:p>
              </w:tc>
              <w:tc>
                <w:tcPr>
                  <w:tcW w:type="dxa" w:w="851"/>
                </w:tcPr>
                <w:p>
                  <w:pPr>
                    <w:pStyle w:val="null3"/>
                  </w:pPr>
                  <w:r>
                    <w:rPr>
                      <w:rFonts w:ascii="仿宋_GB2312" w:hAnsi="仿宋_GB2312" w:cs="仿宋_GB2312" w:eastAsia="仿宋_GB2312"/>
                    </w:rPr>
                    <w:t xml:space="preserve"> </w:t>
                  </w:r>
                </w:p>
              </w:tc>
            </w:tr>
            <w:tr>
              <w:tc>
                <w:tcPr>
                  <w:tcW w:type="dxa" w:w="851"/>
                </w:tcPr>
                <w:p>
                  <w:pPr>
                    <w:pStyle w:val="null3"/>
                  </w:pPr>
                  <w:r>
                    <w:rPr>
                      <w:rFonts w:ascii="仿宋_GB2312" w:hAnsi="仿宋_GB2312" w:cs="仿宋_GB2312" w:eastAsia="仿宋_GB2312"/>
                    </w:rPr>
                    <w:t>2</w:t>
                  </w:r>
                </w:p>
              </w:tc>
              <w:tc>
                <w:tcPr>
                  <w:tcW w:type="dxa" w:w="851"/>
                </w:tcPr>
                <w:p>
                  <w:pPr>
                    <w:pStyle w:val="null3"/>
                  </w:pPr>
                  <w:r>
                    <w:rPr>
                      <w:rFonts w:ascii="仿宋_GB2312" w:hAnsi="仿宋_GB2312" w:cs="仿宋_GB2312" w:eastAsia="仿宋_GB2312"/>
                    </w:rPr>
                    <w:t>LIS系统</w:t>
                  </w:r>
                </w:p>
              </w:tc>
              <w:tc>
                <w:tcPr>
                  <w:tcW w:type="dxa" w:w="851"/>
                </w:tcPr>
                <w:p>
                  <w:pPr>
                    <w:pStyle w:val="null3"/>
                  </w:pPr>
                  <w:r>
                    <w:rPr>
                      <w:rFonts w:ascii="仿宋_GB2312" w:hAnsi="仿宋_GB2312" w:cs="仿宋_GB2312" w:eastAsia="仿宋_GB2312"/>
                    </w:rPr>
                    <w:t xml:space="preserve"> </w:t>
                  </w:r>
                </w:p>
              </w:tc>
            </w:tr>
            <w:tr>
              <w:tc>
                <w:tcPr>
                  <w:tcW w:type="dxa" w:w="851"/>
                </w:tcPr>
                <w:p>
                  <w:pPr>
                    <w:pStyle w:val="null3"/>
                  </w:pPr>
                  <w:r>
                    <w:rPr>
                      <w:rFonts w:ascii="仿宋_GB2312" w:hAnsi="仿宋_GB2312" w:cs="仿宋_GB2312" w:eastAsia="仿宋_GB2312"/>
                    </w:rPr>
                    <w:t>3</w:t>
                  </w:r>
                </w:p>
              </w:tc>
              <w:tc>
                <w:tcPr>
                  <w:tcW w:type="dxa" w:w="851"/>
                </w:tcPr>
                <w:p>
                  <w:pPr>
                    <w:pStyle w:val="null3"/>
                  </w:pPr>
                  <w:r>
                    <w:rPr>
                      <w:rFonts w:ascii="仿宋_GB2312" w:hAnsi="仿宋_GB2312" w:cs="仿宋_GB2312" w:eastAsia="仿宋_GB2312"/>
                    </w:rPr>
                    <w:t>PACS系统</w:t>
                  </w:r>
                </w:p>
              </w:tc>
              <w:tc>
                <w:tcPr>
                  <w:tcW w:type="dxa" w:w="851"/>
                </w:tcPr>
                <w:p>
                  <w:pPr>
                    <w:pStyle w:val="null3"/>
                  </w:pPr>
                  <w:r>
                    <w:rPr>
                      <w:rFonts w:ascii="仿宋_GB2312" w:hAnsi="仿宋_GB2312" w:cs="仿宋_GB2312" w:eastAsia="仿宋_GB2312"/>
                    </w:rPr>
                    <w:t xml:space="preserve"> </w:t>
                  </w:r>
                </w:p>
              </w:tc>
            </w:tr>
            <w:tr>
              <w:tc>
                <w:tcPr>
                  <w:tcW w:type="dxa" w:w="851"/>
                </w:tcPr>
                <w:p>
                  <w:pPr>
                    <w:pStyle w:val="null3"/>
                  </w:pPr>
                  <w:r>
                    <w:rPr>
                      <w:rFonts w:ascii="仿宋_GB2312" w:hAnsi="仿宋_GB2312" w:cs="仿宋_GB2312" w:eastAsia="仿宋_GB2312"/>
                    </w:rPr>
                    <w:t>4</w:t>
                  </w:r>
                </w:p>
              </w:tc>
              <w:tc>
                <w:tcPr>
                  <w:tcW w:type="dxa" w:w="851"/>
                </w:tcPr>
                <w:p>
                  <w:pPr>
                    <w:pStyle w:val="null3"/>
                  </w:pPr>
                  <w:r>
                    <w:rPr>
                      <w:rFonts w:ascii="仿宋_GB2312" w:hAnsi="仿宋_GB2312" w:cs="仿宋_GB2312" w:eastAsia="仿宋_GB2312"/>
                    </w:rPr>
                    <w:t>EMR系统（门诊+住院）</w:t>
                  </w:r>
                </w:p>
              </w:tc>
              <w:tc>
                <w:tcPr>
                  <w:tcW w:type="dxa" w:w="851"/>
                </w:tcPr>
                <w:p>
                  <w:pPr>
                    <w:pStyle w:val="null3"/>
                  </w:pPr>
                  <w:r>
                    <w:rPr>
                      <w:rFonts w:ascii="仿宋_GB2312" w:hAnsi="仿宋_GB2312" w:cs="仿宋_GB2312" w:eastAsia="仿宋_GB2312"/>
                    </w:rPr>
                    <w:t xml:space="preserve"> </w:t>
                  </w:r>
                </w:p>
              </w:tc>
            </w:tr>
            <w:tr>
              <w:tc>
                <w:tcPr>
                  <w:tcW w:type="dxa" w:w="851"/>
                </w:tcPr>
                <w:p>
                  <w:pPr>
                    <w:pStyle w:val="null3"/>
                  </w:pPr>
                  <w:r>
                    <w:rPr>
                      <w:rFonts w:ascii="仿宋_GB2312" w:hAnsi="仿宋_GB2312" w:cs="仿宋_GB2312" w:eastAsia="仿宋_GB2312"/>
                    </w:rPr>
                    <w:t>5</w:t>
                  </w:r>
                </w:p>
              </w:tc>
              <w:tc>
                <w:tcPr>
                  <w:tcW w:type="dxa" w:w="851"/>
                </w:tcPr>
                <w:p>
                  <w:pPr>
                    <w:pStyle w:val="null3"/>
                  </w:pPr>
                  <w:r>
                    <w:rPr>
                      <w:rFonts w:ascii="仿宋_GB2312" w:hAnsi="仿宋_GB2312" w:cs="仿宋_GB2312" w:eastAsia="仿宋_GB2312"/>
                    </w:rPr>
                    <w:t>电子病历质量控制系统</w:t>
                  </w:r>
                </w:p>
              </w:tc>
              <w:tc>
                <w:tcPr>
                  <w:tcW w:type="dxa" w:w="851"/>
                </w:tcPr>
                <w:p>
                  <w:pPr>
                    <w:pStyle w:val="null3"/>
                  </w:pPr>
                  <w:r>
                    <w:rPr>
                      <w:rFonts w:ascii="仿宋_GB2312" w:hAnsi="仿宋_GB2312" w:cs="仿宋_GB2312" w:eastAsia="仿宋_GB2312"/>
                    </w:rPr>
                    <w:t xml:space="preserve"> </w:t>
                  </w:r>
                </w:p>
              </w:tc>
            </w:tr>
            <w:tr>
              <w:tc>
                <w:tcPr>
                  <w:tcW w:type="dxa" w:w="851"/>
                </w:tcPr>
                <w:p>
                  <w:pPr>
                    <w:pStyle w:val="null3"/>
                  </w:pPr>
                  <w:r>
                    <w:rPr>
                      <w:rFonts w:ascii="仿宋_GB2312" w:hAnsi="仿宋_GB2312" w:cs="仿宋_GB2312" w:eastAsia="仿宋_GB2312"/>
                    </w:rPr>
                    <w:t>6</w:t>
                  </w:r>
                </w:p>
              </w:tc>
              <w:tc>
                <w:tcPr>
                  <w:tcW w:type="dxa" w:w="851"/>
                </w:tcPr>
                <w:p>
                  <w:pPr>
                    <w:pStyle w:val="null3"/>
                  </w:pPr>
                  <w:r>
                    <w:rPr>
                      <w:rFonts w:ascii="仿宋_GB2312" w:hAnsi="仿宋_GB2312" w:cs="仿宋_GB2312" w:eastAsia="仿宋_GB2312"/>
                    </w:rPr>
                    <w:t>门诊叫号系统</w:t>
                  </w:r>
                </w:p>
              </w:tc>
              <w:tc>
                <w:tcPr>
                  <w:tcW w:type="dxa" w:w="851"/>
                </w:tcPr>
                <w:p>
                  <w:pPr>
                    <w:pStyle w:val="null3"/>
                  </w:pPr>
                  <w:r>
                    <w:rPr>
                      <w:rFonts w:ascii="仿宋_GB2312" w:hAnsi="仿宋_GB2312" w:cs="仿宋_GB2312" w:eastAsia="仿宋_GB2312"/>
                    </w:rPr>
                    <w:t xml:space="preserve"> </w:t>
                  </w:r>
                </w:p>
              </w:tc>
            </w:tr>
            <w:tr>
              <w:tc>
                <w:tcPr>
                  <w:tcW w:type="dxa" w:w="851"/>
                </w:tcPr>
                <w:p>
                  <w:pPr>
                    <w:pStyle w:val="null3"/>
                  </w:pPr>
                  <w:r>
                    <w:rPr>
                      <w:rFonts w:ascii="仿宋_GB2312" w:hAnsi="仿宋_GB2312" w:cs="仿宋_GB2312" w:eastAsia="仿宋_GB2312"/>
                    </w:rPr>
                    <w:t>7</w:t>
                  </w:r>
                </w:p>
              </w:tc>
              <w:tc>
                <w:tcPr>
                  <w:tcW w:type="dxa" w:w="851"/>
                </w:tcPr>
                <w:p>
                  <w:pPr>
                    <w:pStyle w:val="null3"/>
                  </w:pPr>
                  <w:r>
                    <w:rPr>
                      <w:rFonts w:ascii="仿宋_GB2312" w:hAnsi="仿宋_GB2312" w:cs="仿宋_GB2312" w:eastAsia="仿宋_GB2312"/>
                    </w:rPr>
                    <w:t>病案系统</w:t>
                  </w:r>
                </w:p>
              </w:tc>
              <w:tc>
                <w:tcPr>
                  <w:tcW w:type="dxa" w:w="851"/>
                </w:tcPr>
                <w:p>
                  <w:pPr>
                    <w:pStyle w:val="null3"/>
                  </w:pPr>
                  <w:r>
                    <w:rPr>
                      <w:rFonts w:ascii="仿宋_GB2312" w:hAnsi="仿宋_GB2312" w:cs="仿宋_GB2312" w:eastAsia="仿宋_GB2312"/>
                    </w:rPr>
                    <w:t xml:space="preserve"> </w:t>
                  </w:r>
                </w:p>
              </w:tc>
            </w:tr>
            <w:tr>
              <w:tc>
                <w:tcPr>
                  <w:tcW w:type="dxa" w:w="851"/>
                </w:tcPr>
                <w:p>
                  <w:pPr>
                    <w:pStyle w:val="null3"/>
                  </w:pPr>
                  <w:r>
                    <w:rPr>
                      <w:rFonts w:ascii="仿宋_GB2312" w:hAnsi="仿宋_GB2312" w:cs="仿宋_GB2312" w:eastAsia="仿宋_GB2312"/>
                    </w:rPr>
                    <w:t>8</w:t>
                  </w:r>
                </w:p>
              </w:tc>
              <w:tc>
                <w:tcPr>
                  <w:tcW w:type="dxa" w:w="851"/>
                </w:tcPr>
                <w:p>
                  <w:pPr>
                    <w:pStyle w:val="null3"/>
                  </w:pPr>
                  <w:r>
                    <w:rPr>
                      <w:rFonts w:ascii="仿宋_GB2312" w:hAnsi="仿宋_GB2312" w:cs="仿宋_GB2312" w:eastAsia="仿宋_GB2312"/>
                    </w:rPr>
                    <w:t>手术麻醉系统</w:t>
                  </w:r>
                </w:p>
              </w:tc>
              <w:tc>
                <w:tcPr>
                  <w:tcW w:type="dxa" w:w="851"/>
                </w:tcPr>
                <w:p>
                  <w:pPr>
                    <w:pStyle w:val="null3"/>
                  </w:pPr>
                  <w:r>
                    <w:rPr>
                      <w:rFonts w:ascii="仿宋_GB2312" w:hAnsi="仿宋_GB2312" w:cs="仿宋_GB2312" w:eastAsia="仿宋_GB2312"/>
                    </w:rPr>
                    <w:t xml:space="preserve"> </w:t>
                  </w:r>
                </w:p>
              </w:tc>
            </w:tr>
            <w:tr>
              <w:tc>
                <w:tcPr>
                  <w:tcW w:type="dxa" w:w="851"/>
                </w:tcPr>
                <w:p>
                  <w:pPr>
                    <w:pStyle w:val="null3"/>
                  </w:pPr>
                  <w:r>
                    <w:rPr>
                      <w:rFonts w:ascii="仿宋_GB2312" w:hAnsi="仿宋_GB2312" w:cs="仿宋_GB2312" w:eastAsia="仿宋_GB2312"/>
                    </w:rPr>
                    <w:t>9</w:t>
                  </w:r>
                </w:p>
              </w:tc>
              <w:tc>
                <w:tcPr>
                  <w:tcW w:type="dxa" w:w="851"/>
                </w:tcPr>
                <w:p>
                  <w:pPr>
                    <w:pStyle w:val="null3"/>
                  </w:pPr>
                  <w:r>
                    <w:rPr>
                      <w:rFonts w:ascii="仿宋_GB2312" w:hAnsi="仿宋_GB2312" w:cs="仿宋_GB2312" w:eastAsia="仿宋_GB2312"/>
                    </w:rPr>
                    <w:t>血液信息管理系统</w:t>
                  </w:r>
                </w:p>
              </w:tc>
              <w:tc>
                <w:tcPr>
                  <w:tcW w:type="dxa" w:w="851"/>
                </w:tcPr>
                <w:p>
                  <w:pPr>
                    <w:pStyle w:val="null3"/>
                  </w:pPr>
                  <w:r>
                    <w:rPr>
                      <w:rFonts w:ascii="仿宋_GB2312" w:hAnsi="仿宋_GB2312" w:cs="仿宋_GB2312" w:eastAsia="仿宋_GB2312"/>
                    </w:rPr>
                    <w:t xml:space="preserve"> </w:t>
                  </w:r>
                </w:p>
              </w:tc>
            </w:tr>
            <w:tr>
              <w:tc>
                <w:tcPr>
                  <w:tcW w:type="dxa" w:w="851"/>
                </w:tcPr>
                <w:p>
                  <w:pPr>
                    <w:pStyle w:val="null3"/>
                  </w:pPr>
                  <w:r>
                    <w:rPr>
                      <w:rFonts w:ascii="仿宋_GB2312" w:hAnsi="仿宋_GB2312" w:cs="仿宋_GB2312" w:eastAsia="仿宋_GB2312"/>
                    </w:rPr>
                    <w:t>10</w:t>
                  </w:r>
                </w:p>
              </w:tc>
              <w:tc>
                <w:tcPr>
                  <w:tcW w:type="dxa" w:w="851"/>
                </w:tcPr>
                <w:p>
                  <w:pPr>
                    <w:pStyle w:val="null3"/>
                  </w:pPr>
                  <w:r>
                    <w:rPr>
                      <w:rFonts w:ascii="仿宋_GB2312" w:hAnsi="仿宋_GB2312" w:cs="仿宋_GB2312" w:eastAsia="仿宋_GB2312"/>
                    </w:rPr>
                    <w:t>移动护士端系统</w:t>
                  </w:r>
                </w:p>
              </w:tc>
              <w:tc>
                <w:tcPr>
                  <w:tcW w:type="dxa" w:w="851"/>
                </w:tcPr>
                <w:p>
                  <w:pPr>
                    <w:pStyle w:val="null3"/>
                  </w:pPr>
                  <w:r>
                    <w:rPr>
                      <w:rFonts w:ascii="仿宋_GB2312" w:hAnsi="仿宋_GB2312" w:cs="仿宋_GB2312" w:eastAsia="仿宋_GB2312"/>
                    </w:rPr>
                    <w:t xml:space="preserve"> </w:t>
                  </w:r>
                </w:p>
              </w:tc>
            </w:tr>
            <w:tr>
              <w:tc>
                <w:tcPr>
                  <w:tcW w:type="dxa" w:w="851"/>
                </w:tcPr>
                <w:p>
                  <w:pPr>
                    <w:pStyle w:val="null3"/>
                  </w:pPr>
                  <w:r>
                    <w:rPr>
                      <w:rFonts w:ascii="仿宋_GB2312" w:hAnsi="仿宋_GB2312" w:cs="仿宋_GB2312" w:eastAsia="仿宋_GB2312"/>
                    </w:rPr>
                    <w:t>11</w:t>
                  </w:r>
                </w:p>
              </w:tc>
              <w:tc>
                <w:tcPr>
                  <w:tcW w:type="dxa" w:w="851"/>
                </w:tcPr>
                <w:p>
                  <w:pPr>
                    <w:pStyle w:val="null3"/>
                  </w:pPr>
                  <w:r>
                    <w:rPr>
                      <w:rFonts w:ascii="仿宋_GB2312" w:hAnsi="仿宋_GB2312" w:cs="仿宋_GB2312" w:eastAsia="仿宋_GB2312"/>
                    </w:rPr>
                    <w:t>心电网络系统</w:t>
                  </w:r>
                </w:p>
              </w:tc>
              <w:tc>
                <w:tcPr>
                  <w:tcW w:type="dxa" w:w="851"/>
                </w:tcPr>
                <w:p>
                  <w:pPr>
                    <w:pStyle w:val="null3"/>
                  </w:pPr>
                  <w:r>
                    <w:rPr>
                      <w:rFonts w:ascii="仿宋_GB2312" w:hAnsi="仿宋_GB2312" w:cs="仿宋_GB2312" w:eastAsia="仿宋_GB2312"/>
                    </w:rPr>
                    <w:t xml:space="preserve"> </w:t>
                  </w:r>
                </w:p>
              </w:tc>
            </w:tr>
            <w:tr>
              <w:tc>
                <w:tcPr>
                  <w:tcW w:type="dxa" w:w="851"/>
                </w:tcPr>
                <w:p>
                  <w:pPr>
                    <w:pStyle w:val="null3"/>
                  </w:pPr>
                  <w:r>
                    <w:rPr>
                      <w:rFonts w:ascii="仿宋_GB2312" w:hAnsi="仿宋_GB2312" w:cs="仿宋_GB2312" w:eastAsia="仿宋_GB2312"/>
                    </w:rPr>
                    <w:t>12</w:t>
                  </w:r>
                </w:p>
              </w:tc>
              <w:tc>
                <w:tcPr>
                  <w:tcW w:type="dxa" w:w="851"/>
                </w:tcPr>
                <w:p>
                  <w:pPr>
                    <w:pStyle w:val="null3"/>
                  </w:pPr>
                  <w:r>
                    <w:rPr>
                      <w:rFonts w:ascii="仿宋_GB2312" w:hAnsi="仿宋_GB2312" w:cs="仿宋_GB2312" w:eastAsia="仿宋_GB2312"/>
                    </w:rPr>
                    <w:t>医院感染管理系统</w:t>
                  </w:r>
                </w:p>
              </w:tc>
              <w:tc>
                <w:tcPr>
                  <w:tcW w:type="dxa" w:w="851"/>
                </w:tcPr>
                <w:p>
                  <w:pPr>
                    <w:pStyle w:val="null3"/>
                  </w:pPr>
                  <w:r>
                    <w:rPr>
                      <w:rFonts w:ascii="仿宋_GB2312" w:hAnsi="仿宋_GB2312" w:cs="仿宋_GB2312" w:eastAsia="仿宋_GB2312"/>
                    </w:rPr>
                    <w:t xml:space="preserve"> </w:t>
                  </w:r>
                </w:p>
              </w:tc>
            </w:tr>
            <w:tr>
              <w:tc>
                <w:tcPr>
                  <w:tcW w:type="dxa" w:w="851"/>
                </w:tcPr>
                <w:p>
                  <w:pPr>
                    <w:pStyle w:val="null3"/>
                  </w:pPr>
                  <w:r>
                    <w:rPr>
                      <w:rFonts w:ascii="仿宋_GB2312" w:hAnsi="仿宋_GB2312" w:cs="仿宋_GB2312" w:eastAsia="仿宋_GB2312"/>
                    </w:rPr>
                    <w:t>13</w:t>
                  </w:r>
                </w:p>
              </w:tc>
              <w:tc>
                <w:tcPr>
                  <w:tcW w:type="dxa" w:w="851"/>
                </w:tcPr>
                <w:p>
                  <w:pPr>
                    <w:pStyle w:val="null3"/>
                  </w:pPr>
                  <w:r>
                    <w:rPr>
                      <w:rFonts w:ascii="仿宋_GB2312" w:hAnsi="仿宋_GB2312" w:cs="仿宋_GB2312" w:eastAsia="仿宋_GB2312"/>
                    </w:rPr>
                    <w:t>医院体检信息管理系统</w:t>
                  </w:r>
                </w:p>
              </w:tc>
              <w:tc>
                <w:tcPr>
                  <w:tcW w:type="dxa" w:w="851"/>
                </w:tcPr>
                <w:p>
                  <w:pPr>
                    <w:pStyle w:val="null3"/>
                  </w:pPr>
                  <w:r>
                    <w:rPr>
                      <w:rFonts w:ascii="仿宋_GB2312" w:hAnsi="仿宋_GB2312" w:cs="仿宋_GB2312" w:eastAsia="仿宋_GB2312"/>
                    </w:rPr>
                    <w:t xml:space="preserve"> </w:t>
                  </w:r>
                </w:p>
              </w:tc>
            </w:tr>
            <w:tr>
              <w:tc>
                <w:tcPr>
                  <w:tcW w:type="dxa" w:w="851"/>
                </w:tcPr>
                <w:p>
                  <w:pPr>
                    <w:pStyle w:val="null3"/>
                  </w:pPr>
                  <w:r>
                    <w:rPr>
                      <w:rFonts w:ascii="仿宋_GB2312" w:hAnsi="仿宋_GB2312" w:cs="仿宋_GB2312" w:eastAsia="仿宋_GB2312"/>
                    </w:rPr>
                    <w:t>14</w:t>
                  </w:r>
                </w:p>
              </w:tc>
              <w:tc>
                <w:tcPr>
                  <w:tcW w:type="dxa" w:w="851"/>
                </w:tcPr>
                <w:p>
                  <w:pPr>
                    <w:pStyle w:val="null3"/>
                  </w:pPr>
                  <w:r>
                    <w:rPr>
                      <w:rFonts w:ascii="仿宋_GB2312" w:hAnsi="仿宋_GB2312" w:cs="仿宋_GB2312" w:eastAsia="仿宋_GB2312"/>
                    </w:rPr>
                    <w:t>临床路径系统</w:t>
                  </w:r>
                </w:p>
              </w:tc>
              <w:tc>
                <w:tcPr>
                  <w:tcW w:type="dxa" w:w="851"/>
                </w:tcPr>
                <w:p>
                  <w:pPr>
                    <w:pStyle w:val="null3"/>
                  </w:pPr>
                  <w:r>
                    <w:rPr>
                      <w:rFonts w:ascii="仿宋_GB2312" w:hAnsi="仿宋_GB2312" w:cs="仿宋_GB2312" w:eastAsia="仿宋_GB2312"/>
                    </w:rPr>
                    <w:t xml:space="preserve"> </w:t>
                  </w:r>
                </w:p>
              </w:tc>
            </w:tr>
            <w:tr>
              <w:tc>
                <w:tcPr>
                  <w:tcW w:type="dxa" w:w="851"/>
                </w:tcPr>
                <w:p>
                  <w:pPr>
                    <w:pStyle w:val="null3"/>
                  </w:pPr>
                  <w:r>
                    <w:rPr>
                      <w:rFonts w:ascii="仿宋_GB2312" w:hAnsi="仿宋_GB2312" w:cs="仿宋_GB2312" w:eastAsia="仿宋_GB2312"/>
                    </w:rPr>
                    <w:t>15</w:t>
                  </w:r>
                </w:p>
              </w:tc>
              <w:tc>
                <w:tcPr>
                  <w:tcW w:type="dxa" w:w="851"/>
                </w:tcPr>
                <w:p>
                  <w:pPr>
                    <w:pStyle w:val="null3"/>
                  </w:pPr>
                  <w:r>
                    <w:rPr>
                      <w:rFonts w:ascii="仿宋_GB2312" w:hAnsi="仿宋_GB2312" w:cs="仿宋_GB2312" w:eastAsia="仿宋_GB2312"/>
                    </w:rPr>
                    <w:t>门诊预约挂号系统</w:t>
                  </w:r>
                </w:p>
              </w:tc>
              <w:tc>
                <w:tcPr>
                  <w:tcW w:type="dxa" w:w="851"/>
                </w:tcPr>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云运维服务</w:t>
            </w:r>
          </w:p>
          <w:p>
            <w:pPr>
              <w:pStyle w:val="null3"/>
            </w:pPr>
            <w:r>
              <w:rPr>
                <w:rFonts w:ascii="仿宋_GB2312" w:hAnsi="仿宋_GB2312" w:cs="仿宋_GB2312" w:eastAsia="仿宋_GB2312"/>
              </w:rPr>
              <w:t>云运维服务总体要求</w:t>
            </w:r>
          </w:p>
          <w:p>
            <w:pPr>
              <w:pStyle w:val="null3"/>
            </w:pPr>
            <w:r>
              <w:rPr>
                <w:rFonts w:ascii="仿宋_GB2312" w:hAnsi="仿宋_GB2312" w:cs="仿宋_GB2312" w:eastAsia="仿宋_GB2312"/>
              </w:rPr>
              <w:t>云平台运维管理和具备故障排查解决能力。</w:t>
            </w:r>
          </w:p>
          <w:p>
            <w:pPr>
              <w:pStyle w:val="null3"/>
            </w:pPr>
            <w:r>
              <w:rPr>
                <w:rFonts w:ascii="仿宋_GB2312" w:hAnsi="仿宋_GB2312" w:cs="仿宋_GB2312" w:eastAsia="仿宋_GB2312"/>
              </w:rPr>
              <w:t>基础服务：</w:t>
            </w:r>
          </w:p>
          <w:p>
            <w:pPr>
              <w:pStyle w:val="null3"/>
            </w:pPr>
            <w:r>
              <w:rPr>
                <w:rFonts w:ascii="仿宋_GB2312" w:hAnsi="仿宋_GB2312" w:cs="仿宋_GB2312" w:eastAsia="仿宋_GB2312"/>
              </w:rPr>
              <w:t>（1）提供业务系统所需的整体计算能力和业务承载能力保障。</w:t>
            </w:r>
          </w:p>
          <w:p>
            <w:pPr>
              <w:pStyle w:val="null3"/>
            </w:pPr>
            <w:r>
              <w:rPr>
                <w:rFonts w:ascii="仿宋_GB2312" w:hAnsi="仿宋_GB2312" w:cs="仿宋_GB2312" w:eastAsia="仿宋_GB2312"/>
              </w:rPr>
              <w:t>（2）云平台可靠性服务：应支持在容错、故障、攻击等场景下，通过冗余、高可用集群、应用与底层设备松耦合等特性来体现，从硬件设备冗余、链路冗余、应用容错等方面充分保证整体系统的可用性，来实现系统在故障或攻击时服务的正常使用或服务降级时的核心服务确保一定的服务能力。应能够快速恢复故障应用系统，确保业务的连续性。</w:t>
            </w:r>
          </w:p>
          <w:p>
            <w:pPr>
              <w:pStyle w:val="null3"/>
            </w:pPr>
            <w:r>
              <w:rPr>
                <w:rFonts w:ascii="仿宋_GB2312" w:hAnsi="仿宋_GB2312" w:cs="仿宋_GB2312" w:eastAsia="仿宋_GB2312"/>
              </w:rPr>
              <w:t>（3）云平台建设服务：应支持对云平台上业务系统的整体建设，对各个业务系统模块建设资源应支持具体动态调整、网络支持动/静态BGP接入、支持x86及异构算力等保证业务平稳健康运行满足业务需求。应提供计算、存储、网络、安全、容器、数据库、中间件、大数据、人工智能、物联网等多种服务能力，满足当前及未来业务的扩展。</w:t>
            </w:r>
          </w:p>
          <w:p>
            <w:pPr>
              <w:pStyle w:val="null3"/>
            </w:pPr>
            <w:r>
              <w:rPr>
                <w:rFonts w:ascii="仿宋_GB2312" w:hAnsi="仿宋_GB2312" w:cs="仿宋_GB2312" w:eastAsia="仿宋_GB2312"/>
              </w:rPr>
              <w:t>（4）平台高可用性服务：云平台业务系统建设过程中所需的中间件支持，应提供稳定的消息队列服务支撑、稳定的高速缓存存储能力支撑、大数据量写入存储能力支持、大数据量日志的数据搜索引擎能力支撑等。</w:t>
            </w:r>
          </w:p>
          <w:p>
            <w:pPr>
              <w:pStyle w:val="null3"/>
            </w:pPr>
            <w:r>
              <w:rPr>
                <w:rFonts w:ascii="仿宋_GB2312" w:hAnsi="仿宋_GB2312" w:cs="仿宋_GB2312" w:eastAsia="仿宋_GB2312"/>
              </w:rPr>
              <w:t>（5）云平台服务系统持续集成与持续发布，应支持为整个业务系统敏捷版本发布提供稳定的持续集成与发布能力，提供无故障感知的服务升级能力，提供服务升级灰度发布以及滚动升级能力。</w:t>
            </w:r>
          </w:p>
          <w:p>
            <w:pPr>
              <w:pStyle w:val="null3"/>
            </w:pPr>
            <w:r>
              <w:rPr>
                <w:rFonts w:ascii="仿宋_GB2312" w:hAnsi="仿宋_GB2312" w:cs="仿宋_GB2312" w:eastAsia="仿宋_GB2312"/>
              </w:rPr>
              <w:t>安全服务：</w:t>
            </w:r>
          </w:p>
          <w:p>
            <w:pPr>
              <w:pStyle w:val="null3"/>
            </w:pPr>
            <w:r>
              <w:rPr>
                <w:rFonts w:ascii="仿宋_GB2312" w:hAnsi="仿宋_GB2312" w:cs="仿宋_GB2312" w:eastAsia="仿宋_GB2312"/>
              </w:rPr>
              <w:t>（1）应支持为云服务器、云容器、云数据库等云上资源构建隔离、私密的虚拟网络环境。VPC丰富的功能应支持灵活管理云上网络，包括创建子网、设置安全组和网络ACL、管理路由表、申请弹性公网IP和带宽等。通过链路冗余，分布式网关集群，多AZ部署等多种技术，保障网络的安全、稳定、高可用。</w:t>
            </w:r>
          </w:p>
          <w:p>
            <w:pPr>
              <w:pStyle w:val="null3"/>
            </w:pPr>
            <w:r>
              <w:rPr>
                <w:rFonts w:ascii="仿宋_GB2312" w:hAnsi="仿宋_GB2312" w:cs="仿宋_GB2312" w:eastAsia="仿宋_GB2312"/>
              </w:rPr>
              <w:t>（2）安全组：应支持为云上虚拟服务器设置合理的安全组管理策略，内网之间仅允许指定业务端口开放。安全组是一个逻辑上的分组，应支持为具有相同安全保护需求并相互信任的云服务器、云容器、云数据库等实例提供访问策略。安全组创建后，应支持在安全组中定义各种访问规则，当实例加入该安全组后，即受到这些访问规则的保护。</w:t>
            </w:r>
          </w:p>
          <w:p>
            <w:pPr>
              <w:pStyle w:val="null3"/>
            </w:pPr>
            <w:r>
              <w:rPr>
                <w:rFonts w:ascii="仿宋_GB2312" w:hAnsi="仿宋_GB2312" w:cs="仿宋_GB2312" w:eastAsia="仿宋_GB2312"/>
              </w:rPr>
              <w:t>（3）Web应用防火墙（WAF），应支持七层HTTP协议的防护策略支持，使用WEB应用防火墙或其他防护手段，对常见的SQL注入、跨站脚本攻击等进行防御。</w:t>
            </w:r>
          </w:p>
          <w:p>
            <w:pPr>
              <w:pStyle w:val="null3"/>
            </w:pPr>
            <w:r>
              <w:rPr>
                <w:rFonts w:ascii="仿宋_GB2312" w:hAnsi="仿宋_GB2312" w:cs="仿宋_GB2312" w:eastAsia="仿宋_GB2312"/>
              </w:rPr>
              <w:t>应支持对网站业务流量进行全方位检测和防护；HTTP(S)请求进行检测，识别并阻断网页木马上传、命令/代码注入、文件包含、敏感文件访问、第三方应用漏洞攻击、CC攻击、恶意爬虫扫描、跨站请求伪造等攻击，保护Web服务安全稳定；提供精准高效的威胁检测、针对业界爆发的高危web漏洞，应提供快速分析漏洞、向引擎下发漏洞防御规则的支持，保障0day漏洞及时在waf打上虚拟补丁，用户无感知；应支持通过Web应用防火墙服务配置地理位置访问控制规则。可针对指定国家、省份的来源IP自定义访问控制；提供简洁友好的控制界面，实时查看攻击信息和事件日志。</w:t>
            </w:r>
          </w:p>
          <w:p>
            <w:pPr>
              <w:pStyle w:val="null3"/>
            </w:pPr>
            <w:r>
              <w:rPr>
                <w:rFonts w:ascii="仿宋_GB2312" w:hAnsi="仿宋_GB2312" w:cs="仿宋_GB2312" w:eastAsia="仿宋_GB2312"/>
              </w:rPr>
              <w:t>（4）企业主机安全，应对云上资源建设主机防护措施，对主机安全行为进行监控，对于恶意注入的木马、病毒等能够扫描并干预。应提升主机整体安全性的服务，提供资产管理、漏洞管理支持检测系统和软件漏洞、Web-CMS漏洞，识别潜在风险。入侵检测、基线检查等功能，降低主机安全风险；检测系统中的口令复杂度策略，给出修改建议，帮助用户提升口令安全性；对运行中的程序进行检测，识别出其中的后门、木马、蠕虫和病毒等恶意程序，帮助用户识别出系统存在的安全风险。</w:t>
            </w:r>
          </w:p>
          <w:p>
            <w:pPr>
              <w:pStyle w:val="null3"/>
            </w:pPr>
            <w:r>
              <w:rPr>
                <w:rFonts w:ascii="仿宋_GB2312" w:hAnsi="仿宋_GB2312" w:cs="仿宋_GB2312" w:eastAsia="仿宋_GB2312"/>
              </w:rPr>
              <w:t>（5）云堡垒机，应支持对云上服务器的操作运维审计；提供云计算安全管控的系统和组件，包含部门、用户、资源、策略、运维、审计等功能模块，集单点登录、统一资产管理、多终端访问协议、文件传输、会话协同等功能于一体。通过统一运维登录入口，基于协议正向代理技术和远程访问隔离技术，实现对服务器、云主机、数据库、应用系统等云上资源的集中管理和运维审计；提供可视化运维行为监控，及时预警发现违规操作；实时记录管理员的资源管理、用户管理和策略管理等所有行为日志，以便监控和审计。</w:t>
            </w:r>
          </w:p>
          <w:p>
            <w:pPr>
              <w:pStyle w:val="null3"/>
            </w:pPr>
            <w:r>
              <w:rPr>
                <w:rFonts w:ascii="仿宋_GB2312" w:hAnsi="仿宋_GB2312" w:cs="仿宋_GB2312" w:eastAsia="仿宋_GB2312"/>
              </w:rPr>
              <w:t>（6）数据库安全服务，审计数据库操作行为。应支持对数据库的内部违规和不正当操作进行定位追责，保障数据资产安全。</w:t>
            </w:r>
          </w:p>
          <w:p>
            <w:pPr>
              <w:pStyle w:val="null3"/>
            </w:pPr>
            <w:r>
              <w:rPr>
                <w:rFonts w:ascii="仿宋_GB2312" w:hAnsi="仿宋_GB2312" w:cs="仿宋_GB2312" w:eastAsia="仿宋_GB2312"/>
              </w:rPr>
              <w:t>（7）安全态势感知，应支持统一的威胁检测和风险处置平台；应支持检测出8大类的云上安全风险，包括DDoS攻击、暴力破解、Web攻击、后门木马、僵尸主机、异常行为、漏洞攻击、命令与控制等。利用大数据分析技术，态势感知可以对攻击事件、威胁告警和攻击源头进行分类统计和综合分析，呈现全局安全攻击态势。</w:t>
            </w:r>
          </w:p>
          <w:p>
            <w:pPr>
              <w:pStyle w:val="null3"/>
            </w:pPr>
            <w:r>
              <w:rPr>
                <w:rFonts w:ascii="仿宋_GB2312" w:hAnsi="仿宋_GB2312" w:cs="仿宋_GB2312" w:eastAsia="仿宋_GB2312"/>
              </w:rPr>
              <w:t>（8）云审计，应支持对各种云资源操作记录的收集、存储和查询功能，可用于支撑安全分析、合规审计、资源跟踪和问题定位等，记录审计日志、审计日志查询、审计日志转储。</w:t>
            </w:r>
          </w:p>
          <w:p>
            <w:pPr>
              <w:pStyle w:val="null3"/>
            </w:pPr>
            <w:r>
              <w:rPr>
                <w:rFonts w:ascii="仿宋_GB2312" w:hAnsi="仿宋_GB2312" w:cs="仿宋_GB2312" w:eastAsia="仿宋_GB2312"/>
              </w:rPr>
              <w:t>（9）云监控，应支持一个针对弹性云服务器、带宽等资源的立体化监控平台。资源使用情况、业务的运行状况，并及时收到异常告警做出反应，保证业务顺畅运行。</w:t>
            </w:r>
          </w:p>
          <w:p>
            <w:pPr>
              <w:pStyle w:val="null3"/>
            </w:pPr>
            <w:r>
              <w:rPr>
                <w:rFonts w:ascii="仿宋_GB2312" w:hAnsi="仿宋_GB2312" w:cs="仿宋_GB2312" w:eastAsia="仿宋_GB2312"/>
              </w:rPr>
              <w:t>（10）云日志，应支持日志收集、实时查询、存储等功能，通过海量日志数据的分析与处理，可以将云服务和应用程序的可用性和性能最大化，提供实时、高效、安全的日志处理能力。</w:t>
            </w:r>
          </w:p>
          <w:p>
            <w:pPr>
              <w:pStyle w:val="null3"/>
            </w:pPr>
            <w:r>
              <w:rPr>
                <w:rFonts w:ascii="仿宋_GB2312" w:hAnsi="仿宋_GB2312" w:cs="仿宋_GB2312" w:eastAsia="仿宋_GB2312"/>
              </w:rPr>
              <w:t>云平台日常运维服务：</w:t>
            </w:r>
          </w:p>
          <w:p>
            <w:pPr>
              <w:pStyle w:val="null3"/>
            </w:pPr>
            <w:r>
              <w:rPr>
                <w:rFonts w:ascii="仿宋_GB2312" w:hAnsi="仿宋_GB2312" w:cs="仿宋_GB2312" w:eastAsia="仿宋_GB2312"/>
              </w:rPr>
              <w:t>（1）专门的运维团队，应支持全时段运维服务，制定科学的管理制度、服务流程、质量管控策略等，形成稳定高效的服务管控体系，做到管理规范、流程合理、职责明确、服务高效。</w:t>
            </w:r>
          </w:p>
          <w:p>
            <w:pPr>
              <w:pStyle w:val="null3"/>
            </w:pPr>
            <w:r>
              <w:rPr>
                <w:rFonts w:ascii="仿宋_GB2312" w:hAnsi="仿宋_GB2312" w:cs="仿宋_GB2312" w:eastAsia="仿宋_GB2312"/>
              </w:rPr>
              <w:t>（2）服务：云平台基础资源的实时监控与告警，应包括云主机计算资源、内存资源、存储资源等维度的实时监控与分析，对日常业务运行提供业务异常监控，对日常网络带宽提供预警监控，对以上所有监控维度的实时监控与实时告警能力支撑。</w:t>
            </w:r>
          </w:p>
          <w:p>
            <w:pPr>
              <w:pStyle w:val="null3"/>
            </w:pPr>
            <w:r>
              <w:rPr>
                <w:rFonts w:ascii="仿宋_GB2312" w:hAnsi="仿宋_GB2312" w:cs="仿宋_GB2312" w:eastAsia="仿宋_GB2312"/>
              </w:rPr>
              <w:t>（3）云平台故障处理服务：应支持根据业务运行需要，对云平台各组件、各项参数进行针对性的调优，如调整资源虚拟化比例、虚拟CPU类型与型号、服务线程数量，对业务运行过程中的故障进行分析监测，故障解决，提供7x24的检测与处理能力。</w:t>
            </w:r>
          </w:p>
          <w:p>
            <w:pPr>
              <w:pStyle w:val="null3"/>
            </w:pPr>
            <w:r>
              <w:rPr>
                <w:rFonts w:ascii="仿宋_GB2312" w:hAnsi="仿宋_GB2312" w:cs="仿宋_GB2312" w:eastAsia="仿宋_GB2312"/>
              </w:rPr>
              <w:t>（4）云平台容量规划与调整服务。应支持对业务需求统计分析，对云平台进行容量规划，包括计算能力、存储容量、网络IP地址空间等；实施网络隔离，保障网络安全。</w:t>
            </w:r>
          </w:p>
          <w:p>
            <w:pPr>
              <w:pStyle w:val="null3"/>
            </w:pPr>
            <w:r>
              <w:rPr>
                <w:rFonts w:ascii="仿宋_GB2312" w:hAnsi="仿宋_GB2312" w:cs="仿宋_GB2312" w:eastAsia="仿宋_GB2312"/>
              </w:rPr>
              <w:t>服务要求</w:t>
            </w:r>
          </w:p>
          <w:p>
            <w:pPr>
              <w:pStyle w:val="null3"/>
            </w:pPr>
            <w:r>
              <w:rPr>
                <w:rFonts w:ascii="仿宋_GB2312" w:hAnsi="仿宋_GB2312" w:cs="仿宋_GB2312" w:eastAsia="仿宋_GB2312"/>
              </w:rPr>
              <w:t>（1）作业能力强，制度健全，管理规范；</w:t>
            </w:r>
          </w:p>
          <w:p>
            <w:pPr>
              <w:pStyle w:val="null3"/>
            </w:pPr>
            <w:r>
              <w:rPr>
                <w:rFonts w:ascii="仿宋_GB2312" w:hAnsi="仿宋_GB2312" w:cs="仿宋_GB2312" w:eastAsia="仿宋_GB2312"/>
              </w:rPr>
              <w:t>（2）针对本项目特点，制定科学有效的技术方案和工作方案；</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项目负责人一名</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渭南市临渭区（采购人指定地点）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服务质量达到国家相关法律法规要求、磋商文件、磋商响应文件及采购人要求。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合同签订后根据服务进度，按照比例支付服务费。完成全部项目服务内容并提供相应档案资料</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合同另行约定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中标（成交）供应商在中标（成交）结果公告发布后3个工作日内提供叁套纸质投标文件（经编标工具生成的文件直接打印并加盖公章），递交的纸质版文件内容确保与线上电子文件保持一致，不允许修改和补充。2、关于印发中小企业划型标准规定的通知（工信部联企业〔2011〕300号），中小企业划型标准规定：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须提供合法有效，具有独立承担民事责任能力的证明资料；</w:t>
            </w:r>
          </w:p>
        </w:tc>
        <w:tc>
          <w:tcPr>
            <w:tcW w:type="dxa" w:w="1661"/>
          </w:tcPr>
          <w:p>
            <w:pPr>
              <w:pStyle w:val="null3"/>
            </w:pPr>
            <w:r>
              <w:rPr>
                <w:rFonts w:ascii="仿宋_GB2312" w:hAnsi="仿宋_GB2312" w:cs="仿宋_GB2312" w:eastAsia="仿宋_GB2312"/>
              </w:rPr>
              <w:t>相关证明文件.docx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1）财务状况报告：提供具有财务审计资质单位出具的2024年度或2025年度财务审计报告（成立时间至开标时间不足一年的可提供成立后任意时段的资产负债表）或响应文件递交截止时间前六个月内其基本账户银行出具的资信证明（附基本账户证明）或政府采购信用担保机构出具的投标担保函；（2）税收缴纳证明：提供响应文件递交截止时间前一年内任意一个月的缴费凭据；依法免税的应提供相关文件证明；（3）社会保障资金缴纳证明：提供响应文件递交截止时间前一年内任意一个月的社保缴费凭据或社保机构开具的社会保险参保缴费情况证明；依法不需要缴纳社会保障资金的供应商应提供相关文件证明； 注：按照陕西省财政厅关于进一步优化政府采购营商环境有关事项的通知（陕财办采〔2023〕4号）中对供应商参与政府采购活动建立“承诺+信用管理”的准入管理制度要求，以上三项内容可根据本磋商文件格式要求出具承诺函（详见附件）。</w:t>
            </w:r>
          </w:p>
        </w:tc>
        <w:tc>
          <w:tcPr>
            <w:tcW w:type="dxa" w:w="1661"/>
          </w:tcPr>
          <w:p>
            <w:pPr>
              <w:pStyle w:val="null3"/>
            </w:pPr>
            <w:r>
              <w:rPr>
                <w:rFonts w:ascii="仿宋_GB2312" w:hAnsi="仿宋_GB2312" w:cs="仿宋_GB2312" w:eastAsia="仿宋_GB2312"/>
              </w:rPr>
              <w:t>相关证明文件.docx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具有履行合同的说明或承诺</w:t>
            </w:r>
          </w:p>
        </w:tc>
        <w:tc>
          <w:tcPr>
            <w:tcW w:type="dxa" w:w="3322"/>
          </w:tcPr>
          <w:p>
            <w:pPr>
              <w:pStyle w:val="null3"/>
            </w:pPr>
            <w:r>
              <w:rPr>
                <w:rFonts w:ascii="仿宋_GB2312" w:hAnsi="仿宋_GB2312" w:cs="仿宋_GB2312" w:eastAsia="仿宋_GB2312"/>
              </w:rPr>
              <w:t>供应商具有履行合同所必需的设备和专业技术能力的说明或承诺（格式自拟，并盖单位公章）</w:t>
            </w:r>
          </w:p>
        </w:tc>
        <w:tc>
          <w:tcPr>
            <w:tcW w:type="dxa" w:w="1661"/>
          </w:tcPr>
          <w:p>
            <w:pPr>
              <w:pStyle w:val="null3"/>
            </w:pPr>
            <w:r>
              <w:rPr>
                <w:rFonts w:ascii="仿宋_GB2312" w:hAnsi="仿宋_GB2312" w:cs="仿宋_GB2312" w:eastAsia="仿宋_GB2312"/>
              </w:rPr>
              <w:t>相关证明文件.docx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参加政府采购活动前3年内在经营活动中无重大违法记录的书面声明（格式自拟，并盖单位公章）</w:t>
            </w:r>
          </w:p>
        </w:tc>
        <w:tc>
          <w:tcPr>
            <w:tcW w:type="dxa" w:w="1661"/>
          </w:tcPr>
          <w:p>
            <w:pPr>
              <w:pStyle w:val="null3"/>
            </w:pPr>
            <w:r>
              <w:rPr>
                <w:rFonts w:ascii="仿宋_GB2312" w:hAnsi="仿宋_GB2312" w:cs="仿宋_GB2312" w:eastAsia="仿宋_GB2312"/>
              </w:rPr>
              <w:t>相关证明文件.docx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法定代表人参与投标时需提供法定代表人身份证明；被授权人参与投标时需提供法定代表人身份证明及法定代表人授权委托书</w:t>
            </w:r>
          </w:p>
        </w:tc>
        <w:tc>
          <w:tcPr>
            <w:tcW w:type="dxa" w:w="1661"/>
          </w:tcPr>
          <w:p>
            <w:pPr>
              <w:pStyle w:val="null3"/>
            </w:pPr>
            <w:r>
              <w:rPr>
                <w:rFonts w:ascii="仿宋_GB2312" w:hAnsi="仿宋_GB2312" w:cs="仿宋_GB2312" w:eastAsia="仿宋_GB2312"/>
              </w:rPr>
              <w:t>相关证明文件.docx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磋商保证金交纳凭证</w:t>
            </w:r>
          </w:p>
        </w:tc>
        <w:tc>
          <w:tcPr>
            <w:tcW w:type="dxa" w:w="3322"/>
          </w:tcPr>
          <w:p>
            <w:pPr>
              <w:pStyle w:val="null3"/>
            </w:pPr>
            <w:r>
              <w:rPr>
                <w:rFonts w:ascii="仿宋_GB2312" w:hAnsi="仿宋_GB2312" w:cs="仿宋_GB2312" w:eastAsia="仿宋_GB2312"/>
              </w:rPr>
              <w:t>磋商保证金交纳凭证</w:t>
            </w:r>
          </w:p>
        </w:tc>
        <w:tc>
          <w:tcPr>
            <w:tcW w:type="dxa" w:w="1661"/>
          </w:tcPr>
          <w:p>
            <w:pPr>
              <w:pStyle w:val="null3"/>
            </w:pPr>
            <w:r>
              <w:rPr>
                <w:rFonts w:ascii="仿宋_GB2312" w:hAnsi="仿宋_GB2312" w:cs="仿宋_GB2312" w:eastAsia="仿宋_GB2312"/>
              </w:rPr>
              <w:t>相关证明文件.docx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相关证明文件.docx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磋商响应文件按竞争性磋商文件要求进行签章</w:t>
            </w:r>
          </w:p>
        </w:tc>
        <w:tc>
          <w:tcPr>
            <w:tcW w:type="dxa" w:w="1661"/>
          </w:tcPr>
          <w:p>
            <w:pPr>
              <w:pStyle w:val="null3"/>
            </w:pPr>
            <w:r>
              <w:rPr>
                <w:rFonts w:ascii="仿宋_GB2312" w:hAnsi="仿宋_GB2312" w:cs="仿宋_GB2312" w:eastAsia="仿宋_GB2312"/>
              </w:rPr>
              <w:t>响应文件封面 分项报价表.docx 服务内容及服务邀请应答表 相关证明文件.docx 中小企业声明函 残疾人福利性单位声明函 商务应答表 服务方案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磋商报价没有超出最高限价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对采购内容的响应程度</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无其他做无效磋商处理的情况</w:t>
            </w:r>
          </w:p>
        </w:tc>
        <w:tc>
          <w:tcPr>
            <w:tcW w:type="dxa" w:w="1661"/>
          </w:tcPr>
          <w:p>
            <w:pPr>
              <w:pStyle w:val="null3"/>
            </w:pPr>
            <w:r>
              <w:rPr>
                <w:rFonts w:ascii="仿宋_GB2312" w:hAnsi="仿宋_GB2312" w:cs="仿宋_GB2312" w:eastAsia="仿宋_GB2312"/>
              </w:rPr>
              <w:t>响应文件封面 分项报价表.docx 服务内容及服务邀请应答表 相关证明文件.docx 中小企业声明函 残疾人福利性单位声明函 商务应答表 服务方案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（1）项目理解与分析； （2）云升级服务方案； （3）云运维服务方案；（4）安全服务方案；（5）进度计划措施；（6）进度保障措施。（二）评审标准：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 （1）项目需求分析； （2）项目需求理解； （3）项目整体方案；（4）进度计划及保障措施；（5）人员培训方案；（6）人员职责划分。（二）评审标准：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（一）评审内容： （1）质量保障措施； （2）质量管控要求。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资料管理方案</w:t>
            </w:r>
          </w:p>
        </w:tc>
        <w:tc>
          <w:tcPr>
            <w:tcW w:type="dxa" w:w="2492"/>
          </w:tcPr>
          <w:p>
            <w:pPr>
              <w:pStyle w:val="null3"/>
            </w:pPr>
            <w:r>
              <w:rPr>
                <w:rFonts w:ascii="仿宋_GB2312" w:hAnsi="仿宋_GB2312" w:cs="仿宋_GB2312" w:eastAsia="仿宋_GB2312"/>
              </w:rPr>
              <w:t>（一）评审内容： （1）资料文档管理制度； （2）资料文档管理措施。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安全保障方案</w:t>
            </w:r>
          </w:p>
        </w:tc>
        <w:tc>
          <w:tcPr>
            <w:tcW w:type="dxa" w:w="2492"/>
          </w:tcPr>
          <w:p>
            <w:pPr>
              <w:pStyle w:val="null3"/>
            </w:pPr>
            <w:r>
              <w:rPr>
                <w:rFonts w:ascii="仿宋_GB2312" w:hAnsi="仿宋_GB2312" w:cs="仿宋_GB2312" w:eastAsia="仿宋_GB2312"/>
              </w:rPr>
              <w:t>（一）评审内容： （1）安全管理方案； （2）在服务过程中人员安全保障措施。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（一）评审内容：（1）项目实施面临的重点、难点分析；（2）对重点、难点的解决方案等。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（一）评审内容： （1）紧急或突发情况的应急保障方案； （2）应急人员及设施设备安排计划。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拟派项目负责人具有项目管理类专业高级证书得3分；具有项目管理类专业中级证书得1.5分。提供人员专业技术能力证明材料（须为本单位正式员工，附相关证明材料），未提供不得分。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其他人员配备情况</w:t>
            </w:r>
          </w:p>
        </w:tc>
        <w:tc>
          <w:tcPr>
            <w:tcW w:type="dxa" w:w="2492"/>
          </w:tcPr>
          <w:p>
            <w:pPr>
              <w:pStyle w:val="null3"/>
            </w:pPr>
            <w:r>
              <w:rPr>
                <w:rFonts w:ascii="仿宋_GB2312" w:hAnsi="仿宋_GB2312" w:cs="仿宋_GB2312" w:eastAsia="仿宋_GB2312"/>
              </w:rPr>
              <w:t>项目组人员中（项目负责人除外）每具有一个相关专业技术人员得1分，本项最高得6分。提供人员专业技术能力证明材料（须为本单位正式员工，附相关证明材料），未提供不得分。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供应商提供自2023年3月至今类似业绩的证明材料（合同或中标/成交通知书复印件加盖公章，以合同签订时间或中标/成交通知书发出为准）每提供一项得1分，最高得5分，不提供不得分。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满足磋商文件要求且最后报价最低的供应商价格为磋商基准价得20分； 其他供应商的价格分按下列公式计算： 磋商报价得分=（磋商基准价/最后磋商报价）×20%×100。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详见附件：相关证明文件.docx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