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版本号：ZCSP-临渭区-2026-0005520260319001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按病种分值结算管理系统采购项目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ZCSP-临渭区-2026-00055</w:t>
      </w:r>
      <w:r>
        <w:br/>
      </w:r>
      <w:r>
        <w:br/>
      </w:r>
      <w:r>
        <w:br/>
      </w:r>
    </w:p>
    <w:p>
      <w:pPr>
        <w:pStyle w:val="null3"/>
        <w:jc w:val="center"/>
        <w:outlineLvl w:val="2"/>
      </w:pPr>
      <w:r>
        <w:rPr>
          <w:rFonts w:ascii="仿宋_GB2312" w:hAnsi="仿宋_GB2312" w:cs="仿宋_GB2312" w:eastAsia="仿宋_GB2312"/>
          <w:sz w:val="28"/>
          <w:b/>
        </w:rPr>
        <w:t>渭南市临渭区中医医院</w:t>
      </w:r>
    </w:p>
    <w:p>
      <w:pPr>
        <w:pStyle w:val="null3"/>
        <w:jc w:val="center"/>
        <w:outlineLvl w:val="2"/>
      </w:pPr>
      <w:r>
        <w:rPr>
          <w:rFonts w:ascii="仿宋_GB2312" w:hAnsi="仿宋_GB2312" w:cs="仿宋_GB2312" w:eastAsia="仿宋_GB2312"/>
          <w:sz w:val="28"/>
          <w:b/>
        </w:rPr>
        <w:t>陕西嘉信至诚项目管理有限公司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陕西嘉信至诚项目管理有限公司</w:t>
      </w:r>
      <w:r>
        <w:rPr>
          <w:rFonts w:ascii="仿宋_GB2312" w:hAnsi="仿宋_GB2312" w:cs="仿宋_GB2312" w:eastAsia="仿宋_GB2312"/>
        </w:rPr>
        <w:t>（以下简称“代理机构”）受</w:t>
      </w:r>
      <w:r>
        <w:rPr>
          <w:rFonts w:ascii="仿宋_GB2312" w:hAnsi="仿宋_GB2312" w:cs="仿宋_GB2312" w:eastAsia="仿宋_GB2312"/>
        </w:rPr>
        <w:t>渭南市临渭区中医医院</w:t>
      </w:r>
      <w:r>
        <w:rPr>
          <w:rFonts w:ascii="仿宋_GB2312" w:hAnsi="仿宋_GB2312" w:cs="仿宋_GB2312" w:eastAsia="仿宋_GB2312"/>
        </w:rPr>
        <w:t>委托，拟对</w:t>
      </w:r>
      <w:r>
        <w:rPr>
          <w:rFonts w:ascii="仿宋_GB2312" w:hAnsi="仿宋_GB2312" w:cs="仿宋_GB2312" w:eastAsia="仿宋_GB2312"/>
        </w:rPr>
        <w:t>按病种分值结算管理系统采购项目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ZCSP-临渭区-2026-00055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按病种分值结算管理系统采购项目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通过病种分值结算管理系统，完成结算工作，以满足医院需求。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1、磋商保证金交纳凭证：磋商保证金交纳凭证</w:t>
      </w:r>
    </w:p>
    <w:p>
      <w:pPr>
        <w:pStyle w:val="null3"/>
      </w:pPr>
      <w:r>
        <w:rPr>
          <w:rFonts w:ascii="仿宋_GB2312" w:hAnsi="仿宋_GB2312" w:cs="仿宋_GB2312" w:eastAsia="仿宋_GB2312"/>
        </w:rPr>
        <w:t>2、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3、法定代表人身份证明书或授权委托书：法定代表人参与磋商时需提供法定代表人身份证明书；被授权人参与磋商时需提供法定代表人身份证明书及法定代表人授权委托书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渭南市临渭区城南街中段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渭南市临渭区中医医院经办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0913-2556019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陕西嘉信至诚项目管理有限公司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陕西省渭南市临渭区解放路与双王街十字东南角商贸楼三楼东侧（槐衙曦和公馆南门斜对面）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刘仁杰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0913-2130688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开户名称：陕西嘉信至诚项目管理有限公司</w:t>
            </w:r>
          </w:p>
          <w:p>
            <w:pPr>
              <w:pStyle w:val="null3"/>
            </w:pPr>
            <w:r>
              <w:rPr>
                <w:rFonts w:ascii="仿宋_GB2312" w:hAnsi="仿宋_GB2312" w:cs="仿宋_GB2312" w:eastAsia="仿宋_GB2312"/>
              </w:rPr>
              <w:t>开户银行：中国银行渭南分行营业部</w:t>
            </w:r>
          </w:p>
          <w:p>
            <w:pPr>
              <w:pStyle w:val="null3"/>
            </w:pPr>
            <w:r>
              <w:rPr>
                <w:rFonts w:ascii="仿宋_GB2312" w:hAnsi="仿宋_GB2312" w:cs="仿宋_GB2312" w:eastAsia="仿宋_GB2312"/>
              </w:rPr>
              <w:t>银行账号：103714785487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渭南市临渭区中医医院</w:t>
      </w:r>
      <w:r>
        <w:rPr>
          <w:rFonts w:ascii="仿宋_GB2312" w:hAnsi="仿宋_GB2312" w:cs="仿宋_GB2312" w:eastAsia="仿宋_GB2312"/>
        </w:rPr>
        <w:t>和</w:t>
      </w:r>
      <w:r>
        <w:rPr>
          <w:rFonts w:ascii="仿宋_GB2312" w:hAnsi="仿宋_GB2312" w:cs="仿宋_GB2312" w:eastAsia="仿宋_GB2312"/>
        </w:rPr>
        <w:t>陕西嘉信至诚项目管理有限公司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陕西嘉信至诚项目管理有限公司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陕西嘉信至诚项目管理有限公司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达到履约验收合格标准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陕西嘉信至诚项目管理有限公司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联系人：刘仁杰</w:t>
      </w:r>
    </w:p>
    <w:p>
      <w:pPr>
        <w:pStyle w:val="null3"/>
      </w:pPr>
      <w:r>
        <w:rPr>
          <w:rFonts w:ascii="仿宋_GB2312" w:hAnsi="仿宋_GB2312" w:cs="仿宋_GB2312" w:eastAsia="仿宋_GB2312"/>
        </w:rPr>
        <w:t>联系电话：0913-2130688</w:t>
      </w:r>
    </w:p>
    <w:p>
      <w:pPr>
        <w:pStyle w:val="null3"/>
      </w:pPr>
      <w:r>
        <w:rPr>
          <w:rFonts w:ascii="仿宋_GB2312" w:hAnsi="仿宋_GB2312" w:cs="仿宋_GB2312" w:eastAsia="仿宋_GB2312"/>
        </w:rPr>
        <w:t>地址：陕西省渭南市临渭区解放路与双王街十字东南角商贸楼三楼东侧（槐衙曦和公馆南门斜对面）</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通过病种分值结算管理系统，完成结算工作，以满足医院需求。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435,000.00</w:t>
      </w:r>
    </w:p>
    <w:p>
      <w:pPr>
        <w:pStyle w:val="null3"/>
      </w:pPr>
      <w:r>
        <w:rPr>
          <w:rFonts w:ascii="仿宋_GB2312" w:hAnsi="仿宋_GB2312" w:cs="仿宋_GB2312" w:eastAsia="仿宋_GB2312"/>
        </w:rPr>
        <w:t>采购包最高限价（元）: 435,000.00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按病种分值结算管理系统采购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435,000.00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标的名称：按病种分值结算管理系统采购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02"/>
              <w:jc w:val="both"/>
            </w:pPr>
            <w:r>
              <w:rPr>
                <w:rFonts w:ascii="仿宋_GB2312" w:hAnsi="仿宋_GB2312" w:cs="仿宋_GB2312" w:eastAsia="仿宋_GB2312"/>
              </w:rPr>
              <w:t>1.服务内容：</w:t>
            </w:r>
          </w:p>
          <w:p>
            <w:pPr>
              <w:pStyle w:val="null3"/>
            </w:pPr>
            <w:r>
              <w:rPr>
                <w:rFonts w:ascii="仿宋_GB2312" w:hAnsi="仿宋_GB2312" w:cs="仿宋_GB2312" w:eastAsia="仿宋_GB2312"/>
              </w:rPr>
              <w:t>（1）须完成医院 DIP 医保结算清单、DIP 预分组信息化建设的需求调研、方案设计、部署实施、数据对接、联调测试、系统培训和上线运行。</w:t>
            </w:r>
          </w:p>
          <w:p>
            <w:pPr>
              <w:pStyle w:val="null3"/>
            </w:pPr>
            <w:r>
              <w:rPr>
                <w:rFonts w:ascii="仿宋_GB2312" w:hAnsi="仿宋_GB2312" w:cs="仿宋_GB2312" w:eastAsia="仿宋_GB2312"/>
              </w:rPr>
              <w:t>（2）须完成与医院 HIS、电子病历、病案、等相关系统的接口开发与数据互通，满足医院住院病案首页、医保结算清单、费用明细、诊疗行为等数据的采集、校验、标准化处理。</w:t>
            </w:r>
          </w:p>
          <w:p>
            <w:pPr>
              <w:pStyle w:val="null3"/>
            </w:pPr>
            <w:r>
              <w:rPr>
                <w:rFonts w:ascii="仿宋_GB2312" w:hAnsi="仿宋_GB2312" w:cs="仿宋_GB2312" w:eastAsia="仿宋_GB2312"/>
              </w:rPr>
              <w:t>（3）须含有 DIP 预分组功能，支持实时预分组、分值测算、异常提示，帮助医院在出院前及时发现并修正编码、诊断、手术操作、费用等问题，降低拒付与违规风险。</w:t>
            </w:r>
          </w:p>
          <w:p>
            <w:pPr>
              <w:pStyle w:val="null3"/>
            </w:pPr>
            <w:r>
              <w:rPr>
                <w:rFonts w:ascii="仿宋_GB2312" w:hAnsi="仿宋_GB2312" w:cs="仿宋_GB2312" w:eastAsia="仿宋_GB2312"/>
              </w:rPr>
              <w:t>（4）须含有 DIP 医保结算清单管理模块，实现清单规范化生成、质控审核、差错提醒、上传对接，确保清单完整、准确、合规，满足医保局报送要求。</w:t>
            </w:r>
          </w:p>
          <w:p>
            <w:pPr>
              <w:pStyle w:val="null3"/>
            </w:pPr>
            <w:r>
              <w:rPr>
                <w:rFonts w:ascii="仿宋_GB2312" w:hAnsi="仿宋_GB2312" w:cs="仿宋_GB2312" w:eastAsia="仿宋_GB2312"/>
              </w:rPr>
              <w:t>（5）供应商须提供系统操作培训、日常运维、问题响应、版本升级、持续优化等全生命周期服务，保障系统稳定、高效、安全运行。</w:t>
            </w:r>
          </w:p>
          <w:p>
            <w:pPr>
              <w:pStyle w:val="null3"/>
            </w:pPr>
            <w:r>
              <w:rPr>
                <w:rFonts w:ascii="仿宋_GB2312" w:hAnsi="仿宋_GB2312" w:cs="仿宋_GB2312" w:eastAsia="仿宋_GB2312"/>
              </w:rPr>
              <w:t>2.服务地点</w:t>
            </w:r>
          </w:p>
          <w:p>
            <w:pPr>
              <w:pStyle w:val="null3"/>
            </w:pPr>
            <w:r>
              <w:rPr>
                <w:rFonts w:ascii="仿宋_GB2312" w:hAnsi="仿宋_GB2312" w:cs="仿宋_GB2312" w:eastAsia="仿宋_GB2312"/>
              </w:rPr>
              <w:t>渭南市临渭区</w:t>
            </w:r>
          </w:p>
          <w:p>
            <w:pPr>
              <w:pStyle w:val="null3"/>
            </w:pPr>
            <w:r>
              <w:rPr>
                <w:rFonts w:ascii="仿宋_GB2312" w:hAnsi="仿宋_GB2312" w:cs="仿宋_GB2312" w:eastAsia="仿宋_GB2312"/>
              </w:rPr>
              <w:t>3.项目成果</w:t>
            </w:r>
          </w:p>
          <w:p>
            <w:pPr>
              <w:pStyle w:val="null3"/>
            </w:pPr>
            <w:r>
              <w:rPr>
                <w:rFonts w:ascii="仿宋_GB2312" w:hAnsi="仿宋_GB2312" w:cs="仿宋_GB2312" w:eastAsia="仿宋_GB2312"/>
              </w:rPr>
              <w:t>（1）建成一套符合国家及地方医保 DIP 支付改革政策要求的 DIP 医保结算清单系统、DIP 预分组系统，满足医院日常结算、清单质控和上报，提升医院DIP精细化管理能力。</w:t>
            </w:r>
          </w:p>
          <w:p>
            <w:pPr>
              <w:pStyle w:val="null3"/>
            </w:pPr>
            <w:r>
              <w:rPr>
                <w:rFonts w:ascii="仿宋_GB2312" w:hAnsi="仿宋_GB2312" w:cs="仿宋_GB2312" w:eastAsia="仿宋_GB2312"/>
              </w:rPr>
              <w:t>（2）实现院内住院数据事前预分组、事中质控、并将自动生成的医保结算清单及时规范上传，大幅提升医保结算清单填报质量与上报成功率。</w:t>
            </w:r>
          </w:p>
          <w:p>
            <w:pPr>
              <w:pStyle w:val="null3"/>
            </w:pPr>
            <w:r>
              <w:rPr>
                <w:rFonts w:ascii="仿宋_GB2312" w:hAnsi="仿宋_GB2312" w:cs="仿宋_GB2312" w:eastAsia="仿宋_GB2312"/>
              </w:rPr>
              <w:t>（3）实现出院前DIP 预分组、分值预判、盈亏预警、异常纠错，有效减少编码错误、分组错误、费用异常，降低医保拒付率，提升医院医保基金使用效益。</w:t>
            </w:r>
          </w:p>
          <w:p>
            <w:pPr>
              <w:pStyle w:val="null3"/>
            </w:pPr>
            <w:r>
              <w:rPr>
                <w:rFonts w:ascii="仿宋_GB2312" w:hAnsi="仿宋_GB2312" w:cs="仿宋_GB2312" w:eastAsia="仿宋_GB2312"/>
              </w:rPr>
              <w:t>4.服务要求</w:t>
            </w:r>
          </w:p>
          <w:p>
            <w:pPr>
              <w:pStyle w:val="null3"/>
            </w:pPr>
            <w:r>
              <w:rPr>
                <w:rFonts w:ascii="仿宋_GB2312" w:hAnsi="仿宋_GB2312" w:cs="仿宋_GB2312" w:eastAsia="仿宋_GB2312"/>
              </w:rPr>
              <w:t>（1）满足我院HIS等信息化对接形式，即能够通过标准 HTTP 协议主动调用 HIS 开放接口获取业务数据，并在应用层进行数据解析、转换与业务逻辑处理。</w:t>
            </w:r>
          </w:p>
          <w:p>
            <w:pPr>
              <w:pStyle w:val="null3"/>
            </w:pPr>
            <w:r>
              <w:rPr>
                <w:rFonts w:ascii="仿宋_GB2312" w:hAnsi="仿宋_GB2312" w:cs="仿宋_GB2312" w:eastAsia="仿宋_GB2312"/>
              </w:rPr>
              <w:t>（2）能及时提供远程在线诊断和故障排除服务。对于一般故障，在接到通知后，在2小时内响应。对于需派技术工程师到现场解决的故障，中标单位技术人员在24小时内赶到现场。</w:t>
            </w:r>
          </w:p>
          <w:p>
            <w:pPr>
              <w:pStyle w:val="null3"/>
            </w:pPr>
            <w:r>
              <w:rPr>
                <w:rFonts w:ascii="仿宋_GB2312" w:hAnsi="仿宋_GB2312" w:cs="仿宋_GB2312" w:eastAsia="仿宋_GB2312"/>
              </w:rPr>
              <w:t>5.运维限：服务期满后1年（运维期内采购人不再另行支付费用）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项目负责人一名</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验收交付标准：达到合格标准； 方法：服务质量达到国家相关法律法规要求、磋商文件、磋商响应文件及采购人要求。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合同签订后根据服务进度，按照比例支付服务费。完成全部项目服务内容并提供相应档案资料</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采购人因未及时向供应商提供项目启动所需资料造成服务期延误，每延误1日则本合同服务周期限延长1日，以此类推；因资料真实性给供应商造成损失和产生相关连带责任时，采购人除按供应商要求进行赔偿外还需承担因连带责任产生的所有责任。 （二）因供应商原因造成服务期延误（自然灾害、疫情等不可抗力除外），采购人有权从未付款项中按每日3‰合同价款扣除违约金，此违约以30日为限；若采购人未按约定时间付款，则供应商有权按每日3‰合同价款收取违约金。</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2、根据《政府采购法实施条例》释义，银行、保险、石油石化、电力、电信等有行业特殊情况的，允许法人的分支机构参加政府采购活动。 3、中标（成交）供应商在中标（成交）结果公告发布后3个工作日内提供叁套纸质投标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供应商应须具有独立承担民事责任的能力的证明材料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①财务状况报告：提供具有财务审计资质单位出具的2024年度或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 ②税收缴纳证明：提供响应文件递交截止时间前一年内任意一个月的缴费凭据（依法免税的供应商应提供相关文件证明）；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提供具有履行本合同所必需的设备和专业技术能力的说明或承诺；（格式自拟）</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参加政府采购活动前三年内在经营活动中无重大违法记录；（提供书面声明，格式自拟）</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磋商保证金交纳凭证</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法定代表人参与磋商时需提供法定代表人身份证明书；被授权人参与磋商时需提供法定代表人身份证明书及法定代表人授权委托书</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供应商名称应与营业执照相一致</w:t>
            </w:r>
          </w:p>
        </w:tc>
        <w:tc>
          <w:tcPr>
            <w:tcW w:type="dxa" w:w="1661"/>
          </w:tcPr>
          <w:p>
            <w:pPr>
              <w:pStyle w:val="null3"/>
            </w:pPr>
            <w:r>
              <w:rPr>
                <w:rFonts w:ascii="仿宋_GB2312" w:hAnsi="仿宋_GB2312" w:cs="仿宋_GB2312" w:eastAsia="仿宋_GB2312"/>
              </w:rPr>
              <w:t>技术方案.docx 服务内容及服务邀请应答表 中小企业声明函 商务应答表 报价表 响应文件封面 政府采购供应商拒绝政府采购领域商业贿赂承诺书.docx 分项报价表.docx 残疾人福利性单位声明函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磋商响应文件按竞争性磋商文件要求进行签章</w:t>
            </w:r>
          </w:p>
        </w:tc>
        <w:tc>
          <w:tcPr>
            <w:tcW w:type="dxa" w:w="1661"/>
          </w:tcPr>
          <w:p>
            <w:pPr>
              <w:pStyle w:val="null3"/>
            </w:pPr>
            <w:r>
              <w:rPr>
                <w:rFonts w:ascii="仿宋_GB2312" w:hAnsi="仿宋_GB2312" w:cs="仿宋_GB2312" w:eastAsia="仿宋_GB2312"/>
              </w:rPr>
              <w:t>技术方案.docx 服务内容及服务邀请应答表 中小企业声明函 商务应答表 报价表 响应文件封面 政府采购供应商拒绝政府采购领域商业贿赂承诺书.docx 分项报价表.docx 残疾人福利性单位声明函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磋商报价没有超出最高限价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对服务内容响应程度</w:t>
            </w:r>
          </w:p>
        </w:tc>
        <w:tc>
          <w:tcPr>
            <w:tcW w:type="dxa" w:w="3322"/>
          </w:tcPr>
          <w:p>
            <w:pPr>
              <w:pStyle w:val="null3"/>
            </w:pPr>
            <w:r>
              <w:rPr>
                <w:rFonts w:ascii="仿宋_GB2312" w:hAnsi="仿宋_GB2312" w:cs="仿宋_GB2312" w:eastAsia="仿宋_GB2312"/>
              </w:rPr>
              <w:t>满足磋商文件实质性服务技术及商务要求</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技术方案.docx 服务内容及服务邀请应答表 中小企业声明函 商务应答表 报价表 响应文件封面 政府采购供应商拒绝政府采购领域商业贿赂承诺书.docx 分项报价表.docx 残疾人福利性单位声明函 标的清单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1.项目组成人员（除项目负责人）分工明确、责任明确，结构合理，每具有一个人员得0.5分，最高得4分。 2.项目组成人员中（除项目负责人），每具有一个相关专业高级证书加1分，最高可加4分；每具有一个相关专业中级证书加0.5分,最高可加2分；本项最高加4分。 注：提供人员相关证书证明材料复印件，加盖单位鲜章，否则不得分。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供应商具有近三年（2023年03月至今）的类似项目业绩每个计1分，最多计4分。（以合同签订时间为准，附合同复印件）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（一）评审内容：包含①项目需求理解；②系统实施管理方案；③系统部署方案；④进度计划及组织保障措施；⑤ 售后服务人员安排。 （二）评审标准：每一条评审内容不存在缺陷得4分，满分20分；每一条评审内容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（一）评审内容：包含①培训进度安排；②培训内容；③培训方式：④培训师资情况。 （二）评审标准：每一条评审内容不存在缺陷得4分，满分16分；每一条评审内容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系统保障措施</w:t>
            </w:r>
          </w:p>
        </w:tc>
        <w:tc>
          <w:tcPr>
            <w:tcW w:type="dxa" w:w="2492"/>
          </w:tcPr>
          <w:p>
            <w:pPr>
              <w:pStyle w:val="null3"/>
            </w:pPr>
            <w:r>
              <w:rPr>
                <w:rFonts w:ascii="仿宋_GB2312" w:hAnsi="仿宋_GB2312" w:cs="仿宋_GB2312" w:eastAsia="仿宋_GB2312"/>
              </w:rPr>
              <w:t>（一）评审内容：包含①系统文档管理、沟通协调、绩效考核、信息管理的保障措施；②系统平台功能层次清楚，层级合理保障措施；③系统安全性保障措施。 （二）评审标准：每一条评审内容不存在缺陷得4分，满分12分；每一条评审内容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（一）评审内容：包含①服务质量保障体系；②系统软件质量保证措施；③项目稳定实施的质量保障措施。 （二）评审标准：每一条评审内容不存在缺陷得4分，满分12分；每一条评审内容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应急与安全保障措施</w:t>
            </w:r>
          </w:p>
        </w:tc>
        <w:tc>
          <w:tcPr>
            <w:tcW w:type="dxa" w:w="2492"/>
          </w:tcPr>
          <w:p>
            <w:pPr>
              <w:pStyle w:val="null3"/>
            </w:pPr>
            <w:r>
              <w:rPr>
                <w:rFonts w:ascii="仿宋_GB2312" w:hAnsi="仿宋_GB2312" w:cs="仿宋_GB2312" w:eastAsia="仿宋_GB2312"/>
              </w:rPr>
              <w:t>（一）评审内容：包含①应急预案机制；②②应急保证措施。 （二）评审标准：每一条评审内容不存在缺陷得4分，满分8分；每一条评审内容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科学原理或常识错误的；⑤无具体详细的阐述、实施性不强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满足磋商文件要求且最后报价最低的供应商价格为磋商基准价，得20分，其他供应商的价格分按下列公式计算： 磋商报价得分=（磋商基准价/最后磋商报价）×20%×100。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详见附件：供应商资格证明文件.docx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